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  <w:spacing w:val="-2"/>
        </w:rPr>
        <w:t>ADATLAP</w:t>
      </w:r>
    </w:p>
    <w:p>
      <w:pPr>
        <w:spacing w:line="240" w:lineRule="auto" w:before="124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78" w:lineRule="auto" w:before="0"/>
        <w:ind w:left="257" w:right="1983" w:hanging="104"/>
        <w:jc w:val="right"/>
        <w:rPr>
          <w:rFonts w:ascii="Bodoni Bd BT" w:hAnsi="Bodoni Bd BT"/>
          <w:b/>
          <w:sz w:val="16"/>
        </w:rPr>
      </w:pPr>
      <w:r>
        <w:rPr>
          <w:rFonts w:ascii="Bodoni Bd BT" w:hAnsi="Bodoni Bd BT"/>
          <w:b/>
          <w:color w:val="231F20"/>
          <w:sz w:val="16"/>
        </w:rPr>
        <w:t>BALOGH MÁRTON </w:t>
      </w:r>
      <w:r>
        <w:rPr>
          <w:rFonts w:ascii="Bodoni Bd BT" w:hAnsi="Bodoni Bd BT"/>
          <w:b/>
          <w:color w:val="231F20"/>
          <w:spacing w:val="-2"/>
          <w:sz w:val="16"/>
        </w:rPr>
        <w:t>KATONADAL EMLÉKVERSENY</w:t>
      </w:r>
    </w:p>
    <w:p>
      <w:pPr>
        <w:spacing w:after="0" w:line="278" w:lineRule="auto"/>
        <w:jc w:val="right"/>
        <w:rPr>
          <w:rFonts w:ascii="Bodoni Bd BT" w:hAnsi="Bodoni Bd BT"/>
          <w:b/>
          <w:sz w:val="16"/>
        </w:rPr>
        <w:sectPr>
          <w:type w:val="continuous"/>
          <w:pgSz w:w="11910" w:h="16840"/>
          <w:pgMar w:top="1860" w:bottom="280" w:left="566" w:right="566"/>
          <w:cols w:num="2" w:equalWidth="0">
            <w:col w:w="2217" w:space="4960"/>
            <w:col w:w="3601"/>
          </w:cols>
        </w:sectPr>
      </w:pPr>
    </w:p>
    <w:p>
      <w:pPr>
        <w:pStyle w:val="BodyText"/>
        <w:spacing w:line="240" w:lineRule="auto" w:before="10"/>
        <w:rPr>
          <w:rFonts w:ascii="Bodoni Bd BT"/>
          <w:b/>
          <w:sz w:val="20"/>
        </w:rPr>
      </w:pPr>
      <w:r>
        <w:rPr>
          <w:rFonts w:ascii="Bodoni Bd BT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405853</wp:posOffset>
                </wp:positionH>
                <wp:positionV relativeFrom="page">
                  <wp:posOffset>191655</wp:posOffset>
                </wp:positionV>
                <wp:extent cx="6755765" cy="101111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5765" cy="10111105"/>
                          <a:chExt cx="6755765" cy="101111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546" y="110744"/>
                            <a:ext cx="1004887" cy="1489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46" y="5160106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15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046" y="7728347"/>
                            <a:ext cx="66205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0">
                                <a:moveTo>
                                  <a:pt x="0" y="0"/>
                                </a:moveTo>
                                <a:lnTo>
                                  <a:pt x="6620205" y="0"/>
                                </a:lnTo>
                              </a:path>
                            </a:pathLst>
                          </a:custGeom>
                          <a:ln w="115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346" y="10066187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15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696" y="5165868"/>
                            <a:ext cx="1270" cy="256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2860">
                                <a:moveTo>
                                  <a:pt x="0" y="2562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90596" y="5165868"/>
                            <a:ext cx="1270" cy="256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2860">
                                <a:moveTo>
                                  <a:pt x="0" y="2562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696" y="7728352"/>
                            <a:ext cx="1270" cy="233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2355">
                                <a:moveTo>
                                  <a:pt x="0" y="2332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90596" y="7728352"/>
                            <a:ext cx="1270" cy="233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2355">
                                <a:moveTo>
                                  <a:pt x="0" y="2332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346" y="1776696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696" y="1783045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02145" y="1776696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02145" y="1783045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90596" y="1783045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346" y="2209968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696" y="2216317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02145" y="2209968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02145" y="2216317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90596" y="2216317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346" y="2643240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696" y="2649587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165">
                                <a:moveTo>
                                  <a:pt x="0" y="684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02145" y="2643240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02145" y="2649587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165">
                                <a:moveTo>
                                  <a:pt x="0" y="684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90596" y="2649587"/>
                            <a:ext cx="127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165">
                                <a:moveTo>
                                  <a:pt x="0" y="684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346" y="3340848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696" y="3347195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02145" y="3340848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02145" y="3347195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90596" y="3347195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346" y="3774118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696" y="3780467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02145" y="3774118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02145" y="3780467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90596" y="3780467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1346" y="4207390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696" y="4213739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02145" y="4207390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02145" y="4213739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90596" y="4213739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1346" y="4640662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696" y="4647010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02145" y="4640662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02145" y="4647010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90596" y="4647010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005">
                                <a:moveTo>
                                  <a:pt x="0" y="420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1346" y="5073933"/>
                            <a:ext cx="145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0">
                                <a:moveTo>
                                  <a:pt x="0" y="0"/>
                                </a:moveTo>
                                <a:lnTo>
                                  <a:pt x="14507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02145" y="5073933"/>
                            <a:ext cx="519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0">
                                <a:moveTo>
                                  <a:pt x="0" y="0"/>
                                </a:moveTo>
                                <a:lnTo>
                                  <a:pt x="51947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12700"/>
                            <a:ext cx="6730365" cy="1008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085705">
                                <a:moveTo>
                                  <a:pt x="0" y="10085298"/>
                                </a:moveTo>
                                <a:lnTo>
                                  <a:pt x="6730098" y="10085298"/>
                                </a:lnTo>
                                <a:lnTo>
                                  <a:pt x="6730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529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57001pt;margin-top:15.091015pt;width:531.950pt;height:796.15pt;mso-position-horizontal-relative:page;mso-position-vertical-relative:page;z-index:-15876608" id="docshapegroup1" coordorigin="639,302" coordsize="10639,15923">
                <v:shape style="position:absolute;left:9518;top:476;width:1583;height:2346" type="#_x0000_t75" id="docshape2" stroked="false">
                  <v:imagedata r:id="rId5" o:title=""/>
                </v:shape>
                <v:line style="position:absolute" from="720,8428" to="11186,8428" stroked="true" strokeweight=".907pt" strokecolor="#231f20">
                  <v:stroke dashstyle="solid"/>
                </v:line>
                <v:line style="position:absolute" from="740,12472" to="11166,12472" stroked="true" strokeweight=".907pt" strokecolor="#231f20">
                  <v:stroke dashstyle="solid"/>
                </v:line>
                <v:line style="position:absolute" from="720,16154" to="11186,16154" stroked="true" strokeweight=".907pt" strokecolor="#231f20">
                  <v:stroke dashstyle="solid"/>
                </v:line>
                <v:line style="position:absolute" from="730,12472" to="730,8437" stroked="true" strokeweight="1pt" strokecolor="#231f20">
                  <v:stroke dashstyle="solid"/>
                </v:line>
                <v:line style="position:absolute" from="11176,12472" to="11176,8437" stroked="true" strokeweight="1pt" strokecolor="#231f20">
                  <v:stroke dashstyle="solid"/>
                </v:line>
                <v:line style="position:absolute" from="730,16145" to="730,12472" stroked="true" strokeweight="1pt" strokecolor="#231f20">
                  <v:stroke dashstyle="solid"/>
                </v:line>
                <v:line style="position:absolute" from="11176,16145" to="11176,12472" stroked="true" strokeweight="1pt" strokecolor="#231f20">
                  <v:stroke dashstyle="solid"/>
                </v:line>
                <v:line style="position:absolute" from="720,3100" to="3005,3100" stroked="true" strokeweight="1pt" strokecolor="#231f20">
                  <v:stroke dashstyle="solid"/>
                </v:line>
                <v:line style="position:absolute" from="730,3772" to="730,3110" stroked="true" strokeweight="1pt" strokecolor="#231f20">
                  <v:stroke dashstyle="solid"/>
                </v:line>
                <v:line style="position:absolute" from="3005,3100" to="11186,3100" stroked="true" strokeweight="1pt" strokecolor="#231f20">
                  <v:stroke dashstyle="solid"/>
                </v:line>
                <v:line style="position:absolute" from="3005,3772" to="3005,3110" stroked="true" strokeweight="1pt" strokecolor="#231f20">
                  <v:stroke dashstyle="solid"/>
                </v:line>
                <v:line style="position:absolute" from="11176,3772" to="11176,3110" stroked="true" strokeweight="1pt" strokecolor="#231f20">
                  <v:stroke dashstyle="solid"/>
                </v:line>
                <v:line style="position:absolute" from="720,3782" to="3005,3782" stroked="true" strokeweight="1pt" strokecolor="#231f20">
                  <v:stroke dashstyle="solid"/>
                </v:line>
                <v:line style="position:absolute" from="730,4454" to="730,3792" stroked="true" strokeweight="1pt" strokecolor="#231f20">
                  <v:stroke dashstyle="solid"/>
                </v:line>
                <v:line style="position:absolute" from="3005,3782" to="11186,3782" stroked="true" strokeweight="1pt" strokecolor="#231f20">
                  <v:stroke dashstyle="solid"/>
                </v:line>
                <v:line style="position:absolute" from="3005,4454" to="3005,3792" stroked="true" strokeweight="1pt" strokecolor="#231f20">
                  <v:stroke dashstyle="solid"/>
                </v:line>
                <v:line style="position:absolute" from="11176,4454" to="11176,3792" stroked="true" strokeweight="1pt" strokecolor="#231f20">
                  <v:stroke dashstyle="solid"/>
                </v:line>
                <v:line style="position:absolute" from="720,4464" to="3005,4464" stroked="true" strokeweight="1pt" strokecolor="#231f20">
                  <v:stroke dashstyle="solid"/>
                </v:line>
                <v:line style="position:absolute" from="730,5553" to="730,4474" stroked="true" strokeweight="1pt" strokecolor="#231f20">
                  <v:stroke dashstyle="solid"/>
                </v:line>
                <v:line style="position:absolute" from="3005,4464" to="11186,4464" stroked="true" strokeweight="1pt" strokecolor="#231f20">
                  <v:stroke dashstyle="solid"/>
                </v:line>
                <v:line style="position:absolute" from="3005,5553" to="3005,4474" stroked="true" strokeweight="1pt" strokecolor="#231f20">
                  <v:stroke dashstyle="solid"/>
                </v:line>
                <v:line style="position:absolute" from="11176,5553" to="11176,4474" stroked="true" strokeweight="1pt" strokecolor="#231f20">
                  <v:stroke dashstyle="solid"/>
                </v:line>
                <v:line style="position:absolute" from="720,5563" to="3005,5563" stroked="true" strokeweight="1pt" strokecolor="#231f20">
                  <v:stroke dashstyle="solid"/>
                </v:line>
                <v:line style="position:absolute" from="730,6235" to="730,5573" stroked="true" strokeweight="1pt" strokecolor="#231f20">
                  <v:stroke dashstyle="solid"/>
                </v:line>
                <v:line style="position:absolute" from="3005,5563" to="11186,5563" stroked="true" strokeweight="1pt" strokecolor="#231f20">
                  <v:stroke dashstyle="solid"/>
                </v:line>
                <v:line style="position:absolute" from="3005,6235" to="3005,5573" stroked="true" strokeweight="1pt" strokecolor="#231f20">
                  <v:stroke dashstyle="solid"/>
                </v:line>
                <v:line style="position:absolute" from="11176,6235" to="11176,5573" stroked="true" strokeweight="1pt" strokecolor="#231f20">
                  <v:stroke dashstyle="solid"/>
                </v:line>
                <v:line style="position:absolute" from="720,6245" to="3005,6245" stroked="true" strokeweight="1pt" strokecolor="#231f20">
                  <v:stroke dashstyle="solid"/>
                </v:line>
                <v:line style="position:absolute" from="730,6918" to="730,6255" stroked="true" strokeweight="1pt" strokecolor="#231f20">
                  <v:stroke dashstyle="solid"/>
                </v:line>
                <v:line style="position:absolute" from="3005,6245" to="11186,6245" stroked="true" strokeweight="1pt" strokecolor="#231f20">
                  <v:stroke dashstyle="solid"/>
                </v:line>
                <v:line style="position:absolute" from="3005,6918" to="3005,6255" stroked="true" strokeweight="1pt" strokecolor="#231f20">
                  <v:stroke dashstyle="solid"/>
                </v:line>
                <v:line style="position:absolute" from="11176,6918" to="11176,6255" stroked="true" strokeweight="1pt" strokecolor="#231f20">
                  <v:stroke dashstyle="solid"/>
                </v:line>
                <v:line style="position:absolute" from="720,6928" to="3005,6928" stroked="true" strokeweight="1pt" strokecolor="#231f20">
                  <v:stroke dashstyle="solid"/>
                </v:line>
                <v:line style="position:absolute" from="730,7600" to="730,6938" stroked="true" strokeweight="1pt" strokecolor="#231f20">
                  <v:stroke dashstyle="solid"/>
                </v:line>
                <v:line style="position:absolute" from="3005,6928" to="11186,6928" stroked="true" strokeweight="1pt" strokecolor="#231f20">
                  <v:stroke dashstyle="solid"/>
                </v:line>
                <v:line style="position:absolute" from="3005,7600" to="3005,6938" stroked="true" strokeweight="1pt" strokecolor="#231f20">
                  <v:stroke dashstyle="solid"/>
                </v:line>
                <v:line style="position:absolute" from="11176,7600" to="11176,6938" stroked="true" strokeweight="1pt" strokecolor="#231f20">
                  <v:stroke dashstyle="solid"/>
                </v:line>
                <v:line style="position:absolute" from="720,7610" to="3005,7610" stroked="true" strokeweight="1pt" strokecolor="#231f20">
                  <v:stroke dashstyle="solid"/>
                </v:line>
                <v:line style="position:absolute" from="730,8282" to="730,7620" stroked="true" strokeweight="1pt" strokecolor="#231f20">
                  <v:stroke dashstyle="solid"/>
                </v:line>
                <v:line style="position:absolute" from="3005,7610" to="11186,7610" stroked="true" strokeweight="1pt" strokecolor="#231f20">
                  <v:stroke dashstyle="solid"/>
                </v:line>
                <v:line style="position:absolute" from="3005,8282" to="3005,7620" stroked="true" strokeweight="1pt" strokecolor="#231f20">
                  <v:stroke dashstyle="solid"/>
                </v:line>
                <v:line style="position:absolute" from="11176,8282" to="11176,7620" stroked="true" strokeweight="1pt" strokecolor="#231f20">
                  <v:stroke dashstyle="solid"/>
                </v:line>
                <v:line style="position:absolute" from="720,8292" to="3005,8292" stroked="true" strokeweight="1pt" strokecolor="#231f20">
                  <v:stroke dashstyle="solid"/>
                </v:line>
                <v:line style="position:absolute" from="3005,8292" to="11186,8292" stroked="true" strokeweight="1pt" strokecolor="#231f20">
                  <v:stroke dashstyle="solid"/>
                </v:line>
                <v:rect style="position:absolute;left:659;top:321;width:10599;height:15883" id="docshape3" filled="false" stroked="true" strokeweight="2pt" strokecolor="#231f20">
                  <v:stroke dashstyl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5"/>
        <w:gridCol w:w="8171"/>
      </w:tblGrid>
      <w:tr>
        <w:trPr>
          <w:trHeight w:val="682" w:hRule="atLeast"/>
        </w:trPr>
        <w:tc>
          <w:tcPr>
            <w:tcW w:w="2275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Kórus </w:t>
            </w:r>
            <w:r>
              <w:rPr>
                <w:color w:val="231F20"/>
                <w:spacing w:val="-2"/>
                <w:sz w:val="24"/>
              </w:rPr>
              <w:t>neve: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2275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Szólista </w:t>
            </w:r>
            <w:r>
              <w:rPr>
                <w:color w:val="231F20"/>
                <w:spacing w:val="-2"/>
                <w:sz w:val="24"/>
              </w:rPr>
              <w:t>neve: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275" w:type="dxa"/>
          </w:tcPr>
          <w:p>
            <w:pPr>
              <w:pStyle w:val="TableParagraph"/>
              <w:spacing w:line="232" w:lineRule="auto" w:before="31"/>
              <w:ind w:left="80" w:right="116"/>
              <w:rPr>
                <w:sz w:val="24"/>
              </w:rPr>
            </w:pPr>
            <w:r>
              <w:rPr>
                <w:color w:val="231F20"/>
                <w:sz w:val="24"/>
              </w:rPr>
              <w:t>Oktatási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intézmény neve és címe: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2275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Település </w:t>
            </w:r>
            <w:r>
              <w:rPr>
                <w:color w:val="231F20"/>
                <w:spacing w:val="-2"/>
                <w:sz w:val="24"/>
              </w:rPr>
              <w:t>neve: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2275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Kórusvezető </w:t>
            </w:r>
            <w:r>
              <w:rPr>
                <w:color w:val="231F20"/>
                <w:spacing w:val="-2"/>
                <w:sz w:val="24"/>
              </w:rPr>
              <w:t>neve: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2275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Értesítési </w:t>
            </w:r>
            <w:r>
              <w:rPr>
                <w:color w:val="231F20"/>
                <w:spacing w:val="-4"/>
                <w:sz w:val="24"/>
              </w:rPr>
              <w:t>cím: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2275" w:type="dxa"/>
          </w:tcPr>
          <w:p>
            <w:pPr>
              <w:pStyle w:val="TableParagraph"/>
              <w:spacing w:line="232" w:lineRule="auto" w:before="31"/>
              <w:ind w:left="80" w:right="133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E-mail: Telefon: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67"/>
        <w:ind w:left="244" w:right="0" w:firstLine="0"/>
        <w:jc w:val="left"/>
        <w:rPr>
          <w:sz w:val="21"/>
        </w:rPr>
      </w:pPr>
      <w:r>
        <w:rPr>
          <w:color w:val="231F20"/>
          <w:w w:val="115"/>
          <w:sz w:val="21"/>
        </w:rPr>
        <w:t>Leírás</w:t>
      </w:r>
      <w:r>
        <w:rPr>
          <w:color w:val="231F20"/>
          <w:spacing w:val="-5"/>
          <w:w w:val="115"/>
          <w:sz w:val="21"/>
        </w:rPr>
        <w:t> </w:t>
      </w:r>
      <w:r>
        <w:rPr>
          <w:color w:val="231F20"/>
          <w:w w:val="115"/>
          <w:sz w:val="21"/>
        </w:rPr>
        <w:t>a</w:t>
      </w:r>
      <w:r>
        <w:rPr>
          <w:color w:val="231F20"/>
          <w:spacing w:val="-4"/>
          <w:w w:val="115"/>
          <w:sz w:val="21"/>
        </w:rPr>
        <w:t> </w:t>
      </w:r>
      <w:r>
        <w:rPr>
          <w:color w:val="231F20"/>
          <w:spacing w:val="-2"/>
          <w:w w:val="115"/>
          <w:sz w:val="21"/>
        </w:rPr>
        <w:t>kórusról:</w:t>
      </w: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/>
        <w:rPr>
          <w:sz w:val="21"/>
        </w:rPr>
      </w:pPr>
    </w:p>
    <w:p>
      <w:pPr>
        <w:pStyle w:val="BodyText"/>
        <w:spacing w:line="240" w:lineRule="auto" w:before="130"/>
        <w:rPr>
          <w:sz w:val="21"/>
        </w:rPr>
      </w:pPr>
    </w:p>
    <w:p>
      <w:pPr>
        <w:spacing w:before="0"/>
        <w:ind w:left="244" w:right="0" w:firstLine="0"/>
        <w:jc w:val="left"/>
        <w:rPr>
          <w:sz w:val="21"/>
        </w:rPr>
      </w:pPr>
      <w:r>
        <w:rPr>
          <w:color w:val="231F20"/>
          <w:w w:val="115"/>
          <w:sz w:val="21"/>
        </w:rPr>
        <w:t>Szólista</w:t>
      </w:r>
      <w:r>
        <w:rPr>
          <w:color w:val="231F20"/>
          <w:spacing w:val="-7"/>
          <w:w w:val="115"/>
          <w:sz w:val="21"/>
        </w:rPr>
        <w:t> </w:t>
      </w:r>
      <w:r>
        <w:rPr>
          <w:color w:val="231F20"/>
          <w:w w:val="115"/>
          <w:sz w:val="21"/>
        </w:rPr>
        <w:t>esetében</w:t>
      </w:r>
      <w:r>
        <w:rPr>
          <w:color w:val="231F20"/>
          <w:spacing w:val="-7"/>
          <w:w w:val="115"/>
          <w:sz w:val="21"/>
        </w:rPr>
        <w:t> </w:t>
      </w:r>
      <w:r>
        <w:rPr>
          <w:color w:val="231F20"/>
          <w:w w:val="115"/>
          <w:sz w:val="21"/>
        </w:rPr>
        <w:t>életkor</w:t>
      </w:r>
      <w:r>
        <w:rPr>
          <w:color w:val="231F20"/>
          <w:spacing w:val="-7"/>
          <w:w w:val="115"/>
          <w:sz w:val="21"/>
        </w:rPr>
        <w:t> </w:t>
      </w:r>
      <w:r>
        <w:rPr>
          <w:color w:val="231F20"/>
          <w:w w:val="115"/>
          <w:sz w:val="21"/>
        </w:rPr>
        <w:t>és</w:t>
      </w:r>
      <w:r>
        <w:rPr>
          <w:color w:val="231F20"/>
          <w:spacing w:val="-7"/>
          <w:w w:val="115"/>
          <w:sz w:val="21"/>
        </w:rPr>
        <w:t> </w:t>
      </w:r>
      <w:r>
        <w:rPr>
          <w:color w:val="231F20"/>
          <w:w w:val="115"/>
          <w:sz w:val="21"/>
        </w:rPr>
        <w:t>rövid</w:t>
      </w:r>
      <w:r>
        <w:rPr>
          <w:color w:val="231F20"/>
          <w:spacing w:val="-7"/>
          <w:w w:val="115"/>
          <w:sz w:val="21"/>
        </w:rPr>
        <w:t> </w:t>
      </w:r>
      <w:r>
        <w:rPr>
          <w:color w:val="231F20"/>
          <w:w w:val="115"/>
          <w:sz w:val="21"/>
        </w:rPr>
        <w:t>szakmai</w:t>
      </w:r>
      <w:r>
        <w:rPr>
          <w:color w:val="231F20"/>
          <w:spacing w:val="-7"/>
          <w:w w:val="115"/>
          <w:sz w:val="21"/>
        </w:rPr>
        <w:t> </w:t>
      </w:r>
      <w:r>
        <w:rPr>
          <w:color w:val="231F20"/>
          <w:spacing w:val="-2"/>
          <w:w w:val="115"/>
          <w:sz w:val="21"/>
        </w:rPr>
        <w:t>bemutatkozás: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860" w:bottom="280" w:left="566" w:right="566"/>
        </w:sectPr>
      </w:pPr>
    </w:p>
    <w:p>
      <w:pPr>
        <w:pStyle w:val="BodyText"/>
        <w:spacing w:line="240" w:lineRule="auto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99"/>
      </w:tblGrid>
      <w:tr>
        <w:trPr>
          <w:trHeight w:val="3992" w:hRule="atLeast"/>
        </w:trPr>
        <w:tc>
          <w:tcPr>
            <w:tcW w:w="10599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148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38646</wp:posOffset>
                      </wp:positionH>
                      <wp:positionV relativeFrom="paragraph">
                        <wp:posOffset>32902</wp:posOffset>
                      </wp:positionV>
                      <wp:extent cx="6645909" cy="48964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645909" cy="4896485"/>
                                <a:chExt cx="6645909" cy="48964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5759"/>
                                  <a:ext cx="66459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909" h="0">
                                      <a:moveTo>
                                        <a:pt x="0" y="0"/>
                                      </a:moveTo>
                                      <a:lnTo>
                                        <a:pt x="6645605" y="0"/>
                                      </a:lnTo>
                                    </a:path>
                                  </a:pathLst>
                                </a:custGeom>
                                <a:ln w="115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700" y="2501999"/>
                                  <a:ext cx="66205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0509" h="0">
                                      <a:moveTo>
                                        <a:pt x="0" y="0"/>
                                      </a:moveTo>
                                      <a:lnTo>
                                        <a:pt x="6620205" y="0"/>
                                      </a:lnTo>
                                    </a:path>
                                  </a:pathLst>
                                </a:custGeom>
                                <a:ln w="115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890240"/>
                                  <a:ext cx="66459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909" h="0">
                                      <a:moveTo>
                                        <a:pt x="0" y="0"/>
                                      </a:moveTo>
                                      <a:lnTo>
                                        <a:pt x="6645605" y="0"/>
                                      </a:lnTo>
                                    </a:path>
                                  </a:pathLst>
                                </a:custGeom>
                                <a:ln w="115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11516"/>
                                  <a:ext cx="1270" cy="2491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91105">
                                      <a:moveTo>
                                        <a:pt x="0" y="249048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639249" y="11516"/>
                                  <a:ext cx="1270" cy="2491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91105">
                                      <a:moveTo>
                                        <a:pt x="0" y="249048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2501999"/>
                                  <a:ext cx="1270" cy="2382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82520">
                                      <a:moveTo>
                                        <a:pt x="0" y="238248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639249" y="2501999"/>
                                  <a:ext cx="1270" cy="2382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82520">
                                      <a:moveTo>
                                        <a:pt x="0" y="238248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43pt;margin-top:2.590739pt;width:523.3pt;height:385.55pt;mso-position-horizontal-relative:column;mso-position-vertical-relative:paragraph;z-index:-15874560" id="docshapegroup4" coordorigin="61,52" coordsize="10466,7711">
                      <v:line style="position:absolute" from="61,61" to="10526,61" stroked="true" strokeweight=".907pt" strokecolor="#231f20">
                        <v:stroke dashstyle="solid"/>
                      </v:line>
                      <v:line style="position:absolute" from="81,3992" to="10506,3992" stroked="true" strokeweight=".907pt" strokecolor="#231f20">
                        <v:stroke dashstyle="solid"/>
                      </v:line>
                      <v:line style="position:absolute" from="61,7753" to="10526,7753" stroked="true" strokeweight=".907pt" strokecolor="#231f20">
                        <v:stroke dashstyle="solid"/>
                      </v:line>
                      <v:line style="position:absolute" from="71,3992" to="71,70" stroked="true" strokeweight="1pt" strokecolor="#231f20">
                        <v:stroke dashstyle="solid"/>
                      </v:line>
                      <v:line style="position:absolute" from="10516,3992" to="10516,70" stroked="true" strokeweight="1pt" strokecolor="#231f20">
                        <v:stroke dashstyle="solid"/>
                      </v:line>
                      <v:line style="position:absolute" from="71,7744" to="71,3992" stroked="true" strokeweight="1pt" strokecolor="#231f20">
                        <v:stroke dashstyle="solid"/>
                      </v:line>
                      <v:line style="position:absolute" from="10516,7744" to="10516,3992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5"/>
                <w:sz w:val="21"/>
              </w:rPr>
              <w:t>Előadandó</w:t>
            </w:r>
            <w:r>
              <w:rPr>
                <w:color w:val="231F20"/>
                <w:spacing w:val="-11"/>
                <w:w w:val="115"/>
                <w:sz w:val="21"/>
              </w:rPr>
              <w:t> </w:t>
            </w:r>
            <w:r>
              <w:rPr>
                <w:color w:val="231F20"/>
                <w:w w:val="115"/>
                <w:sz w:val="21"/>
              </w:rPr>
              <w:t>dalok</w:t>
            </w:r>
            <w:r>
              <w:rPr>
                <w:color w:val="231F20"/>
                <w:spacing w:val="-11"/>
                <w:w w:val="115"/>
                <w:sz w:val="21"/>
              </w:rPr>
              <w:t> </w:t>
            </w:r>
            <w:r>
              <w:rPr>
                <w:color w:val="231F20"/>
                <w:spacing w:val="-4"/>
                <w:w w:val="115"/>
                <w:sz w:val="21"/>
              </w:rPr>
              <w:t>címe:</w:t>
            </w:r>
          </w:p>
        </w:tc>
      </w:tr>
      <w:tr>
        <w:trPr>
          <w:trHeight w:val="11844" w:hRule="atLeast"/>
        </w:trPr>
        <w:tc>
          <w:tcPr>
            <w:tcW w:w="1059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8"/>
              <w:jc w:val="both"/>
              <w:rPr>
                <w:sz w:val="21"/>
              </w:rPr>
            </w:pPr>
            <w:r>
              <w:rPr>
                <w:color w:val="231F20"/>
                <w:w w:val="115"/>
                <w:sz w:val="21"/>
              </w:rPr>
              <w:t>Hangszeres</w:t>
            </w:r>
            <w:r>
              <w:rPr>
                <w:color w:val="231F20"/>
                <w:spacing w:val="-12"/>
                <w:w w:val="115"/>
                <w:sz w:val="21"/>
              </w:rPr>
              <w:t> </w:t>
            </w:r>
            <w:r>
              <w:rPr>
                <w:color w:val="231F20"/>
                <w:spacing w:val="-2"/>
                <w:w w:val="115"/>
                <w:sz w:val="21"/>
              </w:rPr>
              <w:t>kíséret: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49"/>
              <w:rPr>
                <w:sz w:val="21"/>
              </w:rPr>
            </w:pPr>
          </w:p>
          <w:p>
            <w:pPr>
              <w:pStyle w:val="TableParagraph"/>
              <w:ind w:left="573" w:right="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Hozzájáruló</w:t>
            </w:r>
            <w:r>
              <w:rPr>
                <w:b/>
                <w:color w:val="231F20"/>
                <w:spacing w:val="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nyilatkozat</w:t>
            </w:r>
          </w:p>
          <w:p>
            <w:pPr>
              <w:pStyle w:val="TableParagraph"/>
              <w:spacing w:line="232" w:lineRule="auto" w:before="260"/>
              <w:ind w:left="64" w:right="22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„Balogh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Márton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Katonadal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Emlékverseny”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adatkezelési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tájékoztatóját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megismertem,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aláírásommal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hozzájá- </w:t>
            </w:r>
            <w:r>
              <w:rPr>
                <w:color w:val="231F20"/>
                <w:sz w:val="22"/>
              </w:rPr>
              <w:t>rulok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az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általam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megadott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személyes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adataimnak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tájékoztatóban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meghatározottak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szerint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történő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kezelésé- </w:t>
            </w:r>
            <w:r>
              <w:rPr>
                <w:color w:val="231F20"/>
                <w:spacing w:val="-4"/>
                <w:sz w:val="22"/>
              </w:rPr>
              <w:t>hez.</w:t>
            </w:r>
          </w:p>
          <w:p>
            <w:pPr>
              <w:pStyle w:val="TableParagraph"/>
              <w:spacing w:line="232" w:lineRule="auto"/>
              <w:ind w:left="64" w:right="21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Az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általános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adatvédelmi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rendelet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6.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cikk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(1)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bekezdésének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a)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pontja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alapján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hozzájárulok,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hogy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versenyben </w:t>
            </w:r>
            <w:r>
              <w:rPr>
                <w:color w:val="231F20"/>
                <w:sz w:val="22"/>
              </w:rPr>
              <w:t>való részvételem kapcsán rólam képmás- (fénykép), hangfelvétel, valamint képmás- és hangfelvétel (videó) készüljön,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valamint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felvételek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nyilvános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megjelentetéséhez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(nyilvánosságra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hozatala),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különösen: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59" w:lineRule="exact" w:before="0" w:after="0"/>
              <w:ind w:left="527" w:right="0" w:hanging="123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verseny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szervezőjének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honlapján,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64" w:lineRule="exact" w:before="0" w:after="0"/>
              <w:ind w:left="527" w:right="0" w:hanging="123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sajtóanyagokban,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média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megjelenésekben,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32" w:lineRule="auto" w:before="0" w:after="0"/>
              <w:ind w:left="404" w:right="387" w:firstLine="0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nyilvánosan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elérhető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internetes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oldalakon: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különösen,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nem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kizárólagosan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10"/>
                <w:sz w:val="22"/>
              </w:rPr>
              <w:t> </w:t>
            </w:r>
            <w:hyperlink r:id="rId6">
              <w:r>
                <w:rPr>
                  <w:color w:val="231F20"/>
                  <w:spacing w:val="-2"/>
                  <w:sz w:val="22"/>
                </w:rPr>
                <w:t>www.facebook.com</w:t>
              </w:r>
            </w:hyperlink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és </w:t>
            </w:r>
            <w:r>
              <w:rPr>
                <w:color w:val="231F20"/>
                <w:sz w:val="22"/>
              </w:rPr>
              <w:t>a </w:t>
            </w:r>
            <w:hyperlink r:id="rId7">
              <w:r>
                <w:rPr>
                  <w:color w:val="231F20"/>
                  <w:sz w:val="22"/>
                </w:rPr>
                <w:t>www.youtube.com</w:t>
              </w:r>
            </w:hyperlink>
            <w:r>
              <w:rPr>
                <w:color w:val="231F20"/>
                <w:sz w:val="22"/>
              </w:rPr>
              <w:t> oldalakon.</w:t>
            </w:r>
          </w:p>
          <w:p>
            <w:pPr>
              <w:pStyle w:val="TableParagraph"/>
              <w:spacing w:before="257"/>
              <w:ind w:left="709" w:right="45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54749</wp:posOffset>
                      </wp:positionH>
                      <wp:positionV relativeFrom="paragraph">
                        <wp:posOffset>196901</wp:posOffset>
                      </wp:positionV>
                      <wp:extent cx="241935" cy="241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41935" cy="241935"/>
                                <a:chExt cx="241935" cy="241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700" y="12700"/>
                                  <a:ext cx="21653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6535">
                                      <a:moveTo>
                                        <a:pt x="0" y="216001"/>
                                      </a:moveTo>
                                      <a:lnTo>
                                        <a:pt x="216001" y="216001"/>
                                      </a:lnTo>
                                      <a:lnTo>
                                        <a:pt x="21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11pt;margin-top:15.504025pt;width:19.05pt;height:19.05pt;mso-position-horizontal-relative:column;mso-position-vertical-relative:paragraph;z-index:-15874048" id="docshapegroup5" coordorigin="86,310" coordsize="381,381">
                      <v:rect style="position:absolute;left:106;top:330;width:341;height:341" id="docshape6" filled="false" stroked="true" strokeweight="2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2"/>
              </w:rPr>
              <w:t>Az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általános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adatvédelmi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rendelet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6.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cikk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(1)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bekezdésének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a)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pontja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alapján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hozzájárulok, </w:t>
            </w:r>
            <w:r>
              <w:rPr>
                <w:b/>
                <w:color w:val="231F20"/>
                <w:sz w:val="22"/>
              </w:rPr>
              <w:t>hogy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verseny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szervező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későbbi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pályázati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lehetőségekről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történő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tájékoztatás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céljából elektronikus úton információkat, tájékoztatást küldjön részemre.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spacing w:after="49"/>
              <w:ind w:left="4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Kelt:</w:t>
            </w:r>
          </w:p>
          <w:p>
            <w:pPr>
              <w:pStyle w:val="TableParagraph"/>
              <w:spacing w:line="20" w:lineRule="exact"/>
              <w:ind w:left="89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2320" cy="12700"/>
                      <wp:effectExtent l="9525" t="0" r="5080" b="635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052320" cy="12700"/>
                                <a:chExt cx="205232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6350"/>
                                  <a:ext cx="2052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320" h="0">
                                      <a:moveTo>
                                        <a:pt x="0" y="0"/>
                                      </a:moveTo>
                                      <a:lnTo>
                                        <a:pt x="2052002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6pt;height:1pt;mso-position-horizontal-relative:char;mso-position-vertical-relative:line" id="docshapegroup7" coordorigin="0,0" coordsize="3232,20">
                      <v:line style="position:absolute" from="0,10" to="3232,10" stroked="true" strokeweight="1pt" strokecolor="#231f20">
                        <v:stroke dashstyle="short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683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2320" cy="12700"/>
                      <wp:effectExtent l="9525" t="0" r="5080" b="635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052320" cy="12700"/>
                                <a:chExt cx="2052320" cy="12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6350"/>
                                  <a:ext cx="2052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320" h="0">
                                      <a:moveTo>
                                        <a:pt x="0" y="0"/>
                                      </a:moveTo>
                                      <a:lnTo>
                                        <a:pt x="2052002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6pt;height:1pt;mso-position-horizontal-relative:char;mso-position-vertical-relative:line" id="docshapegroup8" coordorigin="0,0" coordsize="3232,20">
                      <v:line style="position:absolute" from="0,10" to="3232,10" stroked="true" strokeweight="1pt" strokecolor="#231f20">
                        <v:stroke dashstyle="short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4" w:lineRule="exact" w:before="40"/>
              <w:ind w:left="6778" w:right="53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Aláírás</w:t>
            </w:r>
          </w:p>
          <w:p>
            <w:pPr>
              <w:pStyle w:val="TableParagraph"/>
              <w:spacing w:line="240" w:lineRule="exact"/>
              <w:ind w:left="6778" w:right="53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(a versenyen résztvevő, 18. </w:t>
            </w:r>
            <w:r>
              <w:rPr>
                <w:color w:val="231F20"/>
                <w:spacing w:val="-2"/>
                <w:sz w:val="20"/>
              </w:rPr>
              <w:t>életévét</w:t>
            </w:r>
          </w:p>
          <w:p>
            <w:pPr>
              <w:pStyle w:val="TableParagraph"/>
              <w:spacing w:line="244" w:lineRule="exact"/>
              <w:ind w:left="6778" w:right="53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betöltött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személy)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683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2320" cy="12700"/>
                      <wp:effectExtent l="9525" t="0" r="5080" b="635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052320" cy="12700"/>
                                <a:chExt cx="2052320" cy="127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6350"/>
                                  <a:ext cx="2052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320" h="0">
                                      <a:moveTo>
                                        <a:pt x="0" y="0"/>
                                      </a:moveTo>
                                      <a:lnTo>
                                        <a:pt x="2052002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6pt;height:1pt;mso-position-horizontal-relative:char;mso-position-vertical-relative:line" id="docshapegroup9" coordorigin="0,0" coordsize="3232,20">
                      <v:line style="position:absolute" from="0,10" to="3232,10" stroked="true" strokeweight="1pt" strokecolor="#231f20">
                        <v:stroke dashstyle="short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4" w:lineRule="exact" w:before="40"/>
              <w:ind w:left="6778" w:right="53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Aláírás</w:t>
            </w:r>
          </w:p>
          <w:p>
            <w:pPr>
              <w:pStyle w:val="TableParagraph"/>
              <w:spacing w:line="232" w:lineRule="auto" w:before="2"/>
              <w:ind w:left="6778" w:right="53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versenyen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résztvevő,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18.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életévét be nem töltött személy törvényes </w:t>
            </w:r>
            <w:r>
              <w:rPr>
                <w:color w:val="231F20"/>
                <w:spacing w:val="-2"/>
                <w:sz w:val="20"/>
              </w:rPr>
              <w:t>képviselője)</w:t>
            </w:r>
          </w:p>
        </w:tc>
      </w:tr>
    </w:tbl>
    <w:p>
      <w:pPr>
        <w:pStyle w:val="TableParagraph"/>
        <w:spacing w:after="0" w:line="232" w:lineRule="auto"/>
        <w:jc w:val="center"/>
        <w:rPr>
          <w:sz w:val="20"/>
        </w:rPr>
        <w:sectPr>
          <w:pgSz w:w="11910" w:h="16840"/>
          <w:pgMar w:top="260" w:bottom="280" w:left="566" w:right="566"/>
        </w:sectPr>
      </w:pPr>
    </w:p>
    <w:p>
      <w:pPr>
        <w:pStyle w:val="Heading1"/>
        <w:spacing w:before="72"/>
        <w:ind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418553</wp:posOffset>
                </wp:positionH>
                <wp:positionV relativeFrom="page">
                  <wp:posOffset>204355</wp:posOffset>
                </wp:positionV>
                <wp:extent cx="6730365" cy="1025906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730365" cy="1025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 h="10259060">
                              <a:moveTo>
                                <a:pt x="0" y="10258945"/>
                              </a:moveTo>
                              <a:lnTo>
                                <a:pt x="6730098" y="10258945"/>
                              </a:lnTo>
                              <a:lnTo>
                                <a:pt x="6730098" y="0"/>
                              </a:lnTo>
                              <a:lnTo>
                                <a:pt x="0" y="0"/>
                              </a:lnTo>
                              <a:lnTo>
                                <a:pt x="0" y="1025894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957001pt;margin-top:16.091015pt;width:529.929pt;height:807.791pt;mso-position-horizontal-relative:page;mso-position-vertical-relative:page;z-index:-15873536" id="docshape10" filled="false" stroked="true" strokeweight="2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Adatvédelmi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tájékoztató</w:t>
      </w:r>
    </w:p>
    <w:p>
      <w:pPr>
        <w:pStyle w:val="BodyText"/>
        <w:spacing w:line="240" w:lineRule="auto" w:before="57"/>
        <w:rPr>
          <w:b/>
        </w:rPr>
      </w:pPr>
    </w:p>
    <w:p>
      <w:pPr>
        <w:spacing w:line="268" w:lineRule="auto" w:before="0"/>
        <w:ind w:left="159" w:right="145" w:firstLine="226"/>
        <w:jc w:val="both"/>
        <w:rPr>
          <w:sz w:val="16"/>
        </w:rPr>
      </w:pPr>
      <w:r>
        <w:rPr>
          <w:i/>
          <w:color w:val="231F20"/>
          <w:sz w:val="16"/>
        </w:rPr>
        <w:t>Az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információs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önrendelkezési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jogról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és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az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információszabadságról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szóló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2011.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évi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CXII.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törvény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(a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továbbiakban: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Infotv.)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valamint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természetes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személyeknek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</w:t>
      </w:r>
      <w:r>
        <w:rPr>
          <w:i/>
          <w:color w:val="231F20"/>
          <w:spacing w:val="40"/>
          <w:sz w:val="16"/>
        </w:rPr>
        <w:t> </w:t>
      </w:r>
      <w:r>
        <w:rPr>
          <w:i/>
          <w:color w:val="231F20"/>
          <w:sz w:val="16"/>
        </w:rPr>
        <w:t>személyes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adatok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kezelése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tekintetében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történő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védelméről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és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az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ilyen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adatok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szabad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áramlásáról,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valamint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95/46/EK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irányelv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hatályon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kívül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helyezéséről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szóló,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az</w:t>
      </w:r>
      <w:r>
        <w:rPr>
          <w:i/>
          <w:color w:val="231F20"/>
          <w:spacing w:val="40"/>
          <w:sz w:val="16"/>
        </w:rPr>
        <w:t> </w:t>
      </w:r>
      <w:r>
        <w:rPr>
          <w:i/>
          <w:color w:val="231F20"/>
          <w:spacing w:val="-2"/>
          <w:sz w:val="16"/>
        </w:rPr>
        <w:t>Európai Parlament és a Tanács (EU) 2016/679 rendelet (a továbbiakban: általános adatvédelmi rendelet) </w:t>
      </w:r>
      <w:r>
        <w:rPr>
          <w:color w:val="231F20"/>
          <w:spacing w:val="-2"/>
          <w:sz w:val="16"/>
        </w:rPr>
        <w:t>vonatkozó rendelkezéseiben foglaltak szerint a </w:t>
      </w:r>
      <w:r>
        <w:rPr>
          <w:b/>
          <w:color w:val="231F20"/>
          <w:spacing w:val="-2"/>
          <w:sz w:val="16"/>
        </w:rPr>
        <w:t>„Balogh</w:t>
      </w:r>
      <w:r>
        <w:rPr>
          <w:b/>
          <w:color w:val="231F20"/>
          <w:spacing w:val="40"/>
          <w:sz w:val="16"/>
        </w:rPr>
        <w:t> </w:t>
      </w:r>
      <w:r>
        <w:rPr>
          <w:b/>
          <w:color w:val="231F20"/>
          <w:sz w:val="16"/>
        </w:rPr>
        <w:t>Márton Katonadal Emlékverseny” </w:t>
      </w:r>
      <w:r>
        <w:rPr>
          <w:color w:val="231F20"/>
          <w:sz w:val="16"/>
        </w:rPr>
        <w:t>során végzett adatkezelési tevékenységekről, az alábbiak szerint tájékoztatom:</w:t>
      </w:r>
    </w:p>
    <w:p>
      <w:pPr>
        <w:pStyle w:val="Heading1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6" w:right="0" w:hanging="140"/>
        <w:jc w:val="both"/>
      </w:pPr>
      <w:r>
        <w:rPr>
          <w:color w:val="231F20"/>
          <w:spacing w:val="-2"/>
        </w:rPr>
        <w:t>Bevezetés:</w:t>
      </w:r>
    </w:p>
    <w:p>
      <w:pPr>
        <w:pStyle w:val="BodyText"/>
        <w:spacing w:line="266" w:lineRule="auto" w:before="24"/>
        <w:ind w:left="879" w:right="159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nevezési</w:t>
      </w:r>
      <w:r>
        <w:rPr>
          <w:color w:val="231F20"/>
          <w:spacing w:val="-3"/>
        </w:rPr>
        <w:t> </w:t>
      </w:r>
      <w:r>
        <w:rPr>
          <w:color w:val="231F20"/>
        </w:rPr>
        <w:t>eljárás</w:t>
      </w:r>
      <w:r>
        <w:rPr>
          <w:color w:val="231F20"/>
          <w:spacing w:val="-3"/>
        </w:rPr>
        <w:t> </w:t>
      </w:r>
      <w:r>
        <w:rPr>
          <w:color w:val="231F20"/>
        </w:rPr>
        <w:t>lefolytatásához,</w:t>
      </w:r>
      <w:r>
        <w:rPr>
          <w:color w:val="231F20"/>
          <w:spacing w:val="-3"/>
        </w:rPr>
        <w:t> </w:t>
      </w:r>
      <w:r>
        <w:rPr>
          <w:color w:val="231F20"/>
        </w:rPr>
        <w:t>valamint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verseny</w:t>
      </w:r>
      <w:r>
        <w:rPr>
          <w:color w:val="231F20"/>
          <w:spacing w:val="-3"/>
        </w:rPr>
        <w:t> </w:t>
      </w:r>
      <w:r>
        <w:rPr>
          <w:color w:val="231F20"/>
        </w:rPr>
        <w:t>bírálása</w:t>
      </w:r>
      <w:r>
        <w:rPr>
          <w:color w:val="231F20"/>
          <w:spacing w:val="-3"/>
        </w:rPr>
        <w:t> </w:t>
      </w:r>
      <w:r>
        <w:rPr>
          <w:color w:val="231F20"/>
        </w:rPr>
        <w:t>során</w:t>
      </w:r>
      <w:r>
        <w:rPr>
          <w:color w:val="231F20"/>
          <w:spacing w:val="-3"/>
        </w:rPr>
        <w:t> </w:t>
      </w:r>
      <w:r>
        <w:rPr>
          <w:color w:val="231F20"/>
        </w:rPr>
        <w:t>az</w:t>
      </w:r>
      <w:r>
        <w:rPr>
          <w:color w:val="231F20"/>
          <w:spacing w:val="-3"/>
        </w:rPr>
        <w:t> </w:t>
      </w:r>
      <w:r>
        <w:rPr>
          <w:color w:val="231F20"/>
        </w:rPr>
        <w:t>értékeléshez</w:t>
      </w:r>
      <w:r>
        <w:rPr>
          <w:color w:val="231F20"/>
          <w:spacing w:val="-3"/>
        </w:rPr>
        <w:t> </w:t>
      </w:r>
      <w:r>
        <w:rPr>
          <w:color w:val="231F20"/>
        </w:rPr>
        <w:t>elengedhetetlen</w:t>
      </w:r>
      <w:r>
        <w:rPr>
          <w:color w:val="231F20"/>
          <w:spacing w:val="-3"/>
        </w:rPr>
        <w:t> </w:t>
      </w:r>
      <w:r>
        <w:rPr>
          <w:color w:val="231F20"/>
        </w:rPr>
        <w:t>az</w:t>
      </w:r>
      <w:r>
        <w:rPr>
          <w:color w:val="231F20"/>
          <w:spacing w:val="-3"/>
        </w:rPr>
        <w:t> </w:t>
      </w:r>
      <w:r>
        <w:rPr>
          <w:color w:val="231F20"/>
        </w:rPr>
        <w:t>Ön</w:t>
      </w:r>
      <w:r>
        <w:rPr>
          <w:color w:val="231F20"/>
          <w:spacing w:val="-3"/>
        </w:rPr>
        <w:t> </w:t>
      </w:r>
      <w:r>
        <w:rPr>
          <w:color w:val="231F20"/>
        </w:rPr>
        <w:t>személyes</w:t>
      </w:r>
      <w:r>
        <w:rPr>
          <w:color w:val="231F20"/>
          <w:spacing w:val="-3"/>
        </w:rPr>
        <w:t> </w:t>
      </w:r>
      <w:r>
        <w:rPr>
          <w:color w:val="231F20"/>
        </w:rPr>
        <w:t>adatainak</w:t>
      </w:r>
      <w:r>
        <w:rPr>
          <w:color w:val="231F20"/>
          <w:spacing w:val="-3"/>
        </w:rPr>
        <w:t> </w:t>
      </w:r>
      <w:r>
        <w:rPr>
          <w:color w:val="231F20"/>
        </w:rPr>
        <w:t>kezelése.</w:t>
      </w:r>
      <w:r>
        <w:rPr>
          <w:color w:val="231F20"/>
          <w:spacing w:val="40"/>
        </w:rPr>
        <w:t> </w:t>
      </w:r>
      <w:r>
        <w:rPr>
          <w:color w:val="231F20"/>
        </w:rPr>
        <w:t>Ez az adatkezelési tájékoztató a versenyre jelentkező személyek számára készült, annak érdekében, hogy tisztázza a személyes adataik</w:t>
      </w:r>
      <w:r>
        <w:rPr>
          <w:color w:val="231F20"/>
          <w:spacing w:val="40"/>
        </w:rPr>
        <w:t> </w:t>
      </w:r>
      <w:r>
        <w:rPr>
          <w:color w:val="231F20"/>
        </w:rPr>
        <w:t>kezelésének módját, jogalapját és célját. A tájékoztató célja, hogy átlátható információkat nyújtson az adatkezelés folyamatáról, biztosítva</w:t>
      </w:r>
      <w:r>
        <w:rPr>
          <w:color w:val="231F20"/>
          <w:spacing w:val="40"/>
        </w:rPr>
        <w:t> </w:t>
      </w:r>
      <w:r>
        <w:rPr>
          <w:color w:val="231F20"/>
        </w:rPr>
        <w:t>a jelentkezők számára, hogy tisztában legyenek jogaikkal és kötelezettségeikkel az adatvédelmi előírások betartása érdekében. A verseny</w:t>
      </w:r>
      <w:r>
        <w:rPr>
          <w:color w:val="231F20"/>
          <w:spacing w:val="40"/>
        </w:rPr>
        <w:t> </w:t>
      </w:r>
      <w:r>
        <w:rPr>
          <w:color w:val="231F20"/>
        </w:rPr>
        <w:t>során gyűjtött és kezelt személyes adatokat kizárólag a </w:t>
      </w:r>
      <w:r>
        <w:rPr>
          <w:b/>
          <w:color w:val="231F20"/>
        </w:rPr>
        <w:t>„Balogh Márton Katonadal Emlékverseny” </w:t>
      </w:r>
      <w:r>
        <w:rPr>
          <w:color w:val="231F20"/>
        </w:rPr>
        <w:t>elnevezésű verseny felhívásával és</w:t>
      </w:r>
      <w:r>
        <w:rPr>
          <w:color w:val="231F20"/>
          <w:spacing w:val="40"/>
        </w:rPr>
        <w:t> </w:t>
      </w:r>
      <w:r>
        <w:rPr>
          <w:color w:val="231F20"/>
        </w:rPr>
        <w:t>szervezésével összefüggő feladatainak teljesítése céljából kezeljük, mindvégig figyelembe véve az adatvédelmi jogszabályokat és az</w:t>
      </w:r>
      <w:r>
        <w:rPr>
          <w:color w:val="231F20"/>
          <w:spacing w:val="40"/>
        </w:rPr>
        <w:t> </w:t>
      </w:r>
      <w:r>
        <w:rPr>
          <w:color w:val="231F20"/>
        </w:rPr>
        <w:t>adatkezeléssel érintett személyek jogainak védelmét.</w:t>
      </w:r>
    </w:p>
    <w:p>
      <w:pPr>
        <w:pStyle w:val="BodyText"/>
        <w:spacing w:line="194" w:lineRule="exact"/>
        <w:ind w:left="879"/>
      </w:pP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tájékoztatóban</w:t>
      </w:r>
      <w:r>
        <w:rPr>
          <w:color w:val="231F20"/>
          <w:spacing w:val="-4"/>
        </w:rPr>
        <w:t> </w:t>
      </w:r>
      <w:r>
        <w:rPr>
          <w:color w:val="231F20"/>
        </w:rPr>
        <w:t>részletesen</w:t>
      </w:r>
      <w:r>
        <w:rPr>
          <w:color w:val="231F20"/>
          <w:spacing w:val="-5"/>
        </w:rPr>
        <w:t> </w:t>
      </w:r>
      <w:r>
        <w:rPr>
          <w:color w:val="231F20"/>
        </w:rPr>
        <w:t>ismertetjük</w:t>
      </w:r>
      <w:r>
        <w:rPr>
          <w:color w:val="231F20"/>
          <w:spacing w:val="-4"/>
        </w:rPr>
        <w:t> </w:t>
      </w:r>
      <w:r>
        <w:rPr>
          <w:color w:val="231F20"/>
        </w:rPr>
        <w:t>az</w:t>
      </w:r>
      <w:r>
        <w:rPr>
          <w:color w:val="231F20"/>
          <w:spacing w:val="-5"/>
        </w:rPr>
        <w:t> </w:t>
      </w:r>
      <w:r>
        <w:rPr>
          <w:color w:val="231F20"/>
        </w:rPr>
        <w:t>adatkezelés</w:t>
      </w:r>
      <w:r>
        <w:rPr>
          <w:color w:val="231F20"/>
          <w:spacing w:val="-4"/>
        </w:rPr>
        <w:t> </w:t>
      </w:r>
      <w:r>
        <w:rPr>
          <w:color w:val="231F20"/>
        </w:rPr>
        <w:t>célját,</w:t>
      </w:r>
      <w:r>
        <w:rPr>
          <w:color w:val="231F20"/>
          <w:spacing w:val="-4"/>
        </w:rPr>
        <w:t> </w:t>
      </w:r>
      <w:r>
        <w:rPr>
          <w:color w:val="231F20"/>
        </w:rPr>
        <w:t>jogalapját,</w:t>
      </w:r>
      <w:r>
        <w:rPr>
          <w:color w:val="231F20"/>
          <w:spacing w:val="-5"/>
        </w:rPr>
        <w:t> </w:t>
      </w:r>
      <w:r>
        <w:rPr>
          <w:color w:val="231F20"/>
        </w:rPr>
        <w:t>valamint</w:t>
      </w:r>
      <w:r>
        <w:rPr>
          <w:color w:val="231F20"/>
          <w:spacing w:val="-4"/>
        </w:rPr>
        <w:t> </w:t>
      </w:r>
      <w:r>
        <w:rPr>
          <w:color w:val="231F20"/>
        </w:rPr>
        <w:t>az</w:t>
      </w:r>
      <w:r>
        <w:rPr>
          <w:color w:val="231F20"/>
          <w:spacing w:val="-5"/>
        </w:rPr>
        <w:t> </w:t>
      </w:r>
      <w:r>
        <w:rPr>
          <w:color w:val="231F20"/>
        </w:rPr>
        <w:t>érintetti</w:t>
      </w:r>
      <w:r>
        <w:rPr>
          <w:color w:val="231F20"/>
          <w:spacing w:val="-4"/>
        </w:rPr>
        <w:t> </w:t>
      </w:r>
      <w:r>
        <w:rPr>
          <w:color w:val="231F20"/>
        </w:rPr>
        <w:t>joggyakorlás</w:t>
      </w:r>
      <w:r>
        <w:rPr>
          <w:color w:val="231F20"/>
          <w:spacing w:val="-5"/>
        </w:rPr>
        <w:t> </w:t>
      </w:r>
      <w:r>
        <w:rPr>
          <w:color w:val="231F20"/>
        </w:rPr>
        <w:t>lehetőségeit</w:t>
      </w:r>
      <w:r>
        <w:rPr>
          <w:color w:val="231F20"/>
          <w:spacing w:val="-4"/>
        </w:rPr>
        <w:t> </w:t>
      </w:r>
      <w:r>
        <w:rPr>
          <w:color w:val="231F20"/>
        </w:rPr>
        <w:t>és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módját.</w:t>
      </w:r>
    </w:p>
    <w:p>
      <w:pPr>
        <w:pStyle w:val="Heading1"/>
        <w:numPr>
          <w:ilvl w:val="0"/>
          <w:numId w:val="2"/>
        </w:numPr>
        <w:tabs>
          <w:tab w:pos="589" w:val="left" w:leader="none"/>
        </w:tabs>
        <w:spacing w:line="240" w:lineRule="auto" w:before="25" w:after="0"/>
        <w:ind w:left="589" w:right="0" w:hanging="203"/>
        <w:jc w:val="left"/>
      </w:pPr>
      <w:r>
        <w:rPr>
          <w:color w:val="231F20"/>
        </w:rPr>
        <w:t>Az </w:t>
      </w:r>
      <w:r>
        <w:rPr>
          <w:color w:val="231F20"/>
          <w:spacing w:val="-2"/>
        </w:rPr>
        <w:t>adatkezelő: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6" w:lineRule="auto" w:before="23" w:after="0"/>
        <w:ind w:left="879" w:right="3125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Magyar Huszár és Katonai Hagyományőrző Szövetség, 1087 Budapest, Kerepesi út 29/B 7.ép.,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telefon: 30/942-4792, honlap: </w:t>
      </w:r>
      <w:hyperlink r:id="rId8">
        <w:r>
          <w:rPr>
            <w:color w:val="231F20"/>
            <w:sz w:val="16"/>
          </w:rPr>
          <w:t>www.</w:t>
        </w:r>
      </w:hyperlink>
      <w:r>
        <w:rPr>
          <w:color w:val="231F20"/>
          <w:sz w:val="16"/>
        </w:rPr>
        <w:t> magyarhuszar.hu, email cím: </w:t>
      </w:r>
      <w:hyperlink r:id="rId9">
        <w:r>
          <w:rPr>
            <w:color w:val="231F20"/>
            <w:sz w:val="16"/>
          </w:rPr>
          <w:t>info@magyarhuszar.hu</w:t>
        </w:r>
      </w:hyperlink>
    </w:p>
    <w:p>
      <w:pPr>
        <w:pStyle w:val="ListParagraph"/>
        <w:numPr>
          <w:ilvl w:val="1"/>
          <w:numId w:val="2"/>
        </w:numPr>
        <w:tabs>
          <w:tab w:pos="1086" w:val="left" w:leader="none"/>
        </w:tabs>
        <w:spacing w:line="197" w:lineRule="exact" w:before="0" w:after="0"/>
        <w:ind w:left="1086" w:right="0" w:hanging="207"/>
        <w:jc w:val="left"/>
        <w:rPr>
          <w:sz w:val="16"/>
        </w:rPr>
      </w:pPr>
      <w:r>
        <w:rPr>
          <w:color w:val="231F20"/>
          <w:sz w:val="16"/>
        </w:rPr>
        <w:t>az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adatkezelő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képviselője: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Székely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Tibor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hagyományőrző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ezredes,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elnök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40" w:lineRule="auto" w:before="22" w:after="0"/>
        <w:ind w:left="1069" w:right="0" w:hanging="190"/>
        <w:jc w:val="left"/>
        <w:rPr>
          <w:sz w:val="16"/>
        </w:rPr>
      </w:pPr>
      <w:r>
        <w:rPr>
          <w:color w:val="231F20"/>
          <w:sz w:val="16"/>
        </w:rPr>
        <w:t>az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adatvédelmi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tisztviselő: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Pető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István,</w:t>
      </w:r>
      <w:r>
        <w:rPr>
          <w:color w:val="231F20"/>
          <w:spacing w:val="-4"/>
          <w:sz w:val="16"/>
        </w:rPr>
        <w:t> </w:t>
      </w:r>
      <w:hyperlink r:id="rId9">
        <w:r>
          <w:rPr>
            <w:color w:val="231F20"/>
            <w:spacing w:val="-2"/>
            <w:sz w:val="16"/>
          </w:rPr>
          <w:t>info@magyarhuszar.hu</w:t>
        </w:r>
      </w:hyperlink>
    </w:p>
    <w:p>
      <w:pPr>
        <w:pStyle w:val="Heading1"/>
        <w:numPr>
          <w:ilvl w:val="0"/>
          <w:numId w:val="2"/>
        </w:numPr>
        <w:tabs>
          <w:tab w:pos="643" w:val="left" w:leader="none"/>
        </w:tabs>
        <w:spacing w:line="240" w:lineRule="auto" w:before="68" w:after="49"/>
        <w:ind w:left="643" w:right="0" w:hanging="257"/>
        <w:jc w:val="left"/>
      </w:pPr>
      <w:r>
        <w:rPr>
          <w:color w:val="231F20"/>
          <w:spacing w:val="-2"/>
        </w:rPr>
        <w:t>Az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adatkezelés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leírása,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célja,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jogalapja,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kezelt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adatok,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adatkezelés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időtartama,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érintettek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köre,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kezelt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személyes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adatok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gyűjtésének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forrása,</w:t>
      </w:r>
    </w:p>
    <w:tbl>
      <w:tblPr>
        <w:tblW w:w="0" w:type="auto"/>
        <w:jc w:val="left"/>
        <w:tblInd w:w="17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1091" w:hRule="atLeast"/>
        </w:trPr>
        <w:tc>
          <w:tcPr>
            <w:tcW w:w="1740" w:type="dxa"/>
            <w:tcBorders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Célja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51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Jogalapja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35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Kezelt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adatok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4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Időtartama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29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Érintettek</w:t>
            </w:r>
            <w:r>
              <w:rPr>
                <w:b/>
                <w:color w:val="231F20"/>
                <w:spacing w:val="10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köre</w:t>
            </w:r>
          </w:p>
        </w:tc>
        <w:tc>
          <w:tcPr>
            <w:tcW w:w="1740" w:type="dxa"/>
            <w:tcBorders>
              <w:left w:val="single" w:sz="18" w:space="0" w:color="231F20"/>
            </w:tcBorders>
          </w:tcPr>
          <w:p>
            <w:pPr>
              <w:pStyle w:val="TableParagraph"/>
              <w:spacing w:before="35"/>
              <w:ind w:left="138" w:right="129" w:hanging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 kezelt személyes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adatok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gyűjtésének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forrása</w:t>
            </w:r>
          </w:p>
        </w:tc>
      </w:tr>
      <w:tr>
        <w:trPr>
          <w:trHeight w:val="3015" w:hRule="atLeast"/>
        </w:trPr>
        <w:tc>
          <w:tcPr>
            <w:tcW w:w="1740" w:type="dxa"/>
            <w:tcBorders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80" w:right="45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 „Balogh </w:t>
            </w:r>
            <w:r>
              <w:rPr>
                <w:b/>
                <w:color w:val="231F20"/>
                <w:sz w:val="16"/>
              </w:rPr>
              <w:t>Márto</w:t>
            </w:r>
            <w:r>
              <w:rPr>
                <w:b/>
                <w:color w:val="231F20"/>
                <w:sz w:val="16"/>
              </w:rPr>
              <w:t>n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Katonadal </w:t>
            </w:r>
            <w:r>
              <w:rPr>
                <w:b/>
                <w:color w:val="231F20"/>
                <w:sz w:val="16"/>
              </w:rPr>
              <w:t>Emlék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verseny” elnevezésű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versenyre történő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nevezés, valamint </w:t>
            </w: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versenyen történő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részvétel.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line="192" w:lineRule="exact" w:before="35"/>
              <w:ind w:left="67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4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GDPR</w:t>
            </w:r>
            <w:r>
              <w:rPr>
                <w:b/>
                <w:color w:val="231F20"/>
                <w:spacing w:val="4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6.</w:t>
            </w:r>
            <w:r>
              <w:rPr>
                <w:b/>
                <w:color w:val="231F20"/>
                <w:spacing w:val="4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cikk</w:t>
            </w:r>
            <w:r>
              <w:rPr>
                <w:b/>
                <w:color w:val="231F20"/>
                <w:spacing w:val="47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(1)</w:t>
            </w:r>
          </w:p>
          <w:p>
            <w:pPr>
              <w:pStyle w:val="TableParagraph"/>
              <w:ind w:left="67" w:right="45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bekezdés a) pontja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szerinti érintetti hoz-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zájárulás személyes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adatok </w:t>
            </w:r>
            <w:r>
              <w:rPr>
                <w:b/>
                <w:color w:val="231F20"/>
                <w:sz w:val="16"/>
              </w:rPr>
              <w:t>meghatáro-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zott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–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versenyre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tör-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ténő nevezés és rész-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vétel - célból történő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kezeléséhez.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67" w:right="45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 nevezési eljárás-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hoz és a részvételhez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kapcsolódó, a pályá-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zati kiírásban meg-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határozott adatok. (A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jelentkező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neve,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elér-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hetősége: e-mail cím,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telefonszám,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oktatási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intézményének neve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és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címe).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67" w:right="45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 verseny </w:t>
            </w:r>
            <w:r>
              <w:rPr>
                <w:b/>
                <w:color w:val="231F20"/>
                <w:sz w:val="16"/>
              </w:rPr>
              <w:t>utols</w:t>
            </w:r>
            <w:r>
              <w:rPr>
                <w:b/>
                <w:color w:val="231F20"/>
                <w:sz w:val="16"/>
              </w:rPr>
              <w:t>ó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napját követően az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adatokat a nyilván-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tartásból törölni kell,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kivéve,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ha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jelentke-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ző korábban írásban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hozzájárult adatai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további kezeléséhez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későbbi pályázati le-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hetőségekről történő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tájékoztatás céljából,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amely </w:t>
            </w:r>
            <w:r>
              <w:rPr>
                <w:b/>
                <w:color w:val="231F20"/>
                <w:sz w:val="16"/>
              </w:rPr>
              <w:t>adatkezelés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szükségességét az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adatkezelő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évente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fe-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lülvizsgálja.</w:t>
            </w:r>
          </w:p>
        </w:tc>
        <w:tc>
          <w:tcPr>
            <w:tcW w:w="1740" w:type="dxa"/>
            <w:tcBorders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6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jelentkezők</w:t>
            </w:r>
          </w:p>
        </w:tc>
        <w:tc>
          <w:tcPr>
            <w:tcW w:w="1740" w:type="dxa"/>
            <w:tcBorders>
              <w:left w:val="single" w:sz="18" w:space="0" w:color="231F20"/>
            </w:tcBorders>
          </w:tcPr>
          <w:p>
            <w:pPr>
              <w:pStyle w:val="TableParagraph"/>
              <w:spacing w:before="35"/>
              <w:ind w:left="67" w:right="58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 kezelt adatokat </w:t>
            </w:r>
            <w:r>
              <w:rPr>
                <w:b/>
                <w:color w:val="231F20"/>
                <w:sz w:val="16"/>
              </w:rPr>
              <w:t>a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jelentkezők szolgál-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tatják.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191" w:lineRule="exact" w:before="108" w:after="0"/>
        <w:ind w:left="635" w:right="0" w:hanging="249"/>
        <w:jc w:val="left"/>
        <w:rPr>
          <w:b/>
          <w:sz w:val="16"/>
        </w:rPr>
      </w:pPr>
      <w:r>
        <w:rPr>
          <w:b/>
          <w:color w:val="231F20"/>
          <w:sz w:val="16"/>
        </w:rPr>
        <w:t>Adatközlés,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adattovábbítás,</w:t>
      </w:r>
      <w:r>
        <w:rPr>
          <w:b/>
          <w:color w:val="231F20"/>
          <w:spacing w:val="-5"/>
          <w:sz w:val="16"/>
        </w:rPr>
        <w:t> </w:t>
      </w:r>
      <w:r>
        <w:rPr>
          <w:b/>
          <w:color w:val="231F20"/>
          <w:spacing w:val="-2"/>
          <w:sz w:val="16"/>
        </w:rPr>
        <w:t>adatfeldolgozás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193" w:lineRule="exact" w:before="0" w:after="0"/>
        <w:ind w:left="1078" w:right="0" w:hanging="199"/>
        <w:jc w:val="left"/>
        <w:rPr>
          <w:sz w:val="16"/>
        </w:rPr>
      </w:pP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nyilvántartásban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rögzített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adatokat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verseny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lebonyolítása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céljából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jogosultak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megismerni,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az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adatkezelő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szervezet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azon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tagjai,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4"/>
          <w:sz w:val="16"/>
        </w:rPr>
        <w:t>akik</w:t>
      </w:r>
    </w:p>
    <w:p>
      <w:pPr>
        <w:pStyle w:val="BodyText"/>
        <w:ind w:left="879"/>
      </w:pP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verseny</w:t>
      </w:r>
      <w:r>
        <w:rPr>
          <w:color w:val="231F20"/>
          <w:spacing w:val="-5"/>
        </w:rPr>
        <w:t> </w:t>
      </w:r>
      <w:r>
        <w:rPr>
          <w:color w:val="231F20"/>
        </w:rPr>
        <w:t>megszervezését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végzik.</w:t>
      </w:r>
    </w:p>
    <w:p>
      <w:pPr>
        <w:pStyle w:val="ListParagraph"/>
        <w:numPr>
          <w:ilvl w:val="1"/>
          <w:numId w:val="2"/>
        </w:numPr>
        <w:tabs>
          <w:tab w:pos="1086" w:val="left" w:leader="none"/>
        </w:tabs>
        <w:spacing w:line="192" w:lineRule="exact" w:before="0" w:after="0"/>
        <w:ind w:left="1086" w:right="0" w:hanging="207"/>
        <w:jc w:val="left"/>
        <w:rPr>
          <w:sz w:val="16"/>
        </w:rPr>
      </w:pPr>
      <w:r>
        <w:rPr>
          <w:color w:val="231F20"/>
          <w:sz w:val="16"/>
        </w:rPr>
        <w:t>Jogszabályon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alapuló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kötelezettség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alapján,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adatot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közlünk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hivatalos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szervek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által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történő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megkeresés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esetén.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192" w:lineRule="exact" w:before="0" w:after="0"/>
        <w:ind w:left="1069" w:right="0" w:hanging="190"/>
        <w:jc w:val="left"/>
        <w:rPr>
          <w:sz w:val="16"/>
        </w:rPr>
      </w:pPr>
      <w:r>
        <w:rPr>
          <w:color w:val="231F20"/>
          <w:sz w:val="16"/>
        </w:rPr>
        <w:t>Nem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kívánjuk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az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adatokat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harmadik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országba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vagy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nemzetközi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szervezet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részére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továbbítani.</w:t>
      </w:r>
    </w:p>
    <w:p>
      <w:pPr>
        <w:pStyle w:val="ListParagraph"/>
        <w:numPr>
          <w:ilvl w:val="1"/>
          <w:numId w:val="2"/>
        </w:numPr>
        <w:tabs>
          <w:tab w:pos="1101" w:val="left" w:leader="none"/>
        </w:tabs>
        <w:spacing w:line="195" w:lineRule="exact" w:before="0" w:after="0"/>
        <w:ind w:left="1101" w:right="0" w:hanging="222"/>
        <w:jc w:val="left"/>
        <w:rPr>
          <w:sz w:val="16"/>
        </w:rPr>
      </w:pPr>
      <w:r>
        <w:rPr>
          <w:color w:val="231F20"/>
          <w:sz w:val="16"/>
        </w:rPr>
        <w:t>Adatfeldolgozót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nem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veszünk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igénybe.</w:t>
      </w:r>
    </w:p>
    <w:p>
      <w:pPr>
        <w:pStyle w:val="Heading1"/>
        <w:numPr>
          <w:ilvl w:val="0"/>
          <w:numId w:val="2"/>
        </w:numPr>
        <w:tabs>
          <w:tab w:pos="553" w:val="left" w:leader="none"/>
        </w:tabs>
        <w:spacing w:line="191" w:lineRule="exact" w:before="78" w:after="0"/>
        <w:ind w:left="553" w:right="0" w:hanging="173"/>
        <w:jc w:val="left"/>
      </w:pPr>
      <w:r>
        <w:rPr>
          <w:color w:val="231F20"/>
          <w:spacing w:val="-6"/>
        </w:rPr>
        <w:t>Az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Ön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jogai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III.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pontban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jelölt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adatkezeléssel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kapcsolatban:</w:t>
      </w: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193" w:lineRule="exact" w:before="0" w:after="0"/>
        <w:ind w:left="1025" w:right="0" w:hanging="151"/>
        <w:jc w:val="left"/>
        <w:rPr>
          <w:sz w:val="16"/>
        </w:rPr>
      </w:pPr>
      <w:r>
        <w:rPr>
          <w:color w:val="231F20"/>
          <w:spacing w:val="-6"/>
          <w:sz w:val="16"/>
        </w:rPr>
        <w:t>Ön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jogosult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arra,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hogy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adatkezeléssel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összefüggő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tényekről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adatkezelés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megkezdését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megelőzően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tájékoztatást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kapjon,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jelen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tájékoztató</w:t>
      </w:r>
    </w:p>
    <w:p>
      <w:pPr>
        <w:pStyle w:val="BodyText"/>
        <w:ind w:left="874"/>
      </w:pPr>
      <w:r>
        <w:rPr>
          <w:color w:val="231F20"/>
          <w:spacing w:val="-6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jogának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érvényesülését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szolgálja.</w:t>
      </w:r>
    </w:p>
    <w:p>
      <w:pPr>
        <w:pStyle w:val="ListParagraph"/>
        <w:numPr>
          <w:ilvl w:val="1"/>
          <w:numId w:val="2"/>
        </w:numPr>
        <w:tabs>
          <w:tab w:pos="1032" w:val="left" w:leader="none"/>
        </w:tabs>
        <w:spacing w:line="192" w:lineRule="exact" w:before="0" w:after="0"/>
        <w:ind w:left="1032" w:right="0" w:hanging="158"/>
        <w:jc w:val="left"/>
        <w:rPr>
          <w:sz w:val="16"/>
        </w:rPr>
      </w:pPr>
      <w:r>
        <w:rPr>
          <w:color w:val="231F20"/>
          <w:spacing w:val="-6"/>
          <w:sz w:val="16"/>
        </w:rPr>
        <w:t>Ön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kérelmezheti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tőlünk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alábbiakat: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az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Önre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vonatkozó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személyes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adatokhoz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való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hozzáférést,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személyes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adatainak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helyesbítését,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amennyiben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azok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pontatlanok,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személyes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adatainak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törlését,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alábbi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esetekben: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az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adatkezelés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jogellenes,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így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különösen,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ha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az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Infotv.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4.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§-ban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rögzített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6"/>
          <w:sz w:val="16"/>
        </w:rPr>
        <w:t>alapelvekkel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ellentétes,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6"/>
          <w:sz w:val="16"/>
        </w:rPr>
        <w:t>célja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megszűnt,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vagy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adatok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további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6"/>
          <w:sz w:val="16"/>
        </w:rPr>
        <w:t>kezelése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már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nem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6"/>
          <w:sz w:val="16"/>
        </w:rPr>
        <w:t>szükséges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adatkezelés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6"/>
          <w:sz w:val="16"/>
        </w:rPr>
        <w:t>céljának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megvalósulásához,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törvényben,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nemzetközi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szerződésben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vagy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Európai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Unió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kötelező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jogi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aktusában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meghatározott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időtartama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eltelt,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6"/>
          <w:sz w:val="16"/>
        </w:rPr>
        <w:t>vagy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jogalapja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6"/>
          <w:sz w:val="16"/>
        </w:rPr>
        <w:t>megszűnt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és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adatok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6"/>
          <w:sz w:val="16"/>
        </w:rPr>
        <w:t>kezelésének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nincs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6"/>
          <w:sz w:val="16"/>
        </w:rPr>
        <w:t>másik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jogalapja,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az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adatok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törlését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jogszabály,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Európai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Unió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jogi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aktusa,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Nemzeti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Adatvédelmi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és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Információszabadság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Hatóság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vagy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a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bíróság</w:t>
      </w:r>
      <w:r>
        <w:rPr>
          <w:color w:val="231F20"/>
          <w:sz w:val="16"/>
        </w:rPr>
        <w:t> </w:t>
      </w:r>
      <w:r>
        <w:rPr>
          <w:color w:val="231F20"/>
          <w:spacing w:val="-6"/>
          <w:sz w:val="16"/>
        </w:rPr>
        <w:t>elrendelte,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az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Infotv.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19.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§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(1)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bekezdés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b)-d)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pontjában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(adatkezelés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korlátozása)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meghatározott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6"/>
          <w:sz w:val="16"/>
        </w:rPr>
        <w:t>időtartam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6"/>
          <w:sz w:val="16"/>
        </w:rPr>
        <w:t>eltelt.</w:t>
      </w:r>
    </w:p>
    <w:p>
      <w:pPr>
        <w:pStyle w:val="BodyText"/>
        <w:ind w:left="874"/>
      </w:pPr>
      <w:r>
        <w:rPr>
          <w:color w:val="231F20"/>
          <w:spacing w:val="-6"/>
        </w:rPr>
        <w:t>Az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Ön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jogainak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védelme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érdekében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az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adatkezelő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adatkezelés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korlátozását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rendelheti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az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alábbi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esetekben: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192" w:lineRule="exact" w:before="0" w:after="0"/>
        <w:ind w:left="957" w:right="0" w:hanging="83"/>
        <w:jc w:val="left"/>
        <w:rPr>
          <w:sz w:val="16"/>
        </w:rPr>
      </w:pPr>
      <w:r>
        <w:rPr>
          <w:color w:val="231F20"/>
          <w:spacing w:val="-6"/>
          <w:sz w:val="16"/>
        </w:rPr>
        <w:t>ha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Ön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vitatja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adatai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pontosságát,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helytállóságát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vagy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hiánytalanságát,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és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az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adatok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pontossága,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helytállósága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vagy</w:t>
      </w:r>
      <w:r>
        <w:rPr>
          <w:color w:val="231F20"/>
          <w:spacing w:val="5"/>
          <w:sz w:val="16"/>
        </w:rPr>
        <w:t> </w:t>
      </w:r>
      <w:r>
        <w:rPr>
          <w:color w:val="231F20"/>
          <w:spacing w:val="-6"/>
          <w:sz w:val="16"/>
        </w:rPr>
        <w:t>hiánytalansága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6"/>
          <w:sz w:val="16"/>
        </w:rPr>
        <w:t>kétséget</w:t>
      </w:r>
    </w:p>
    <w:p>
      <w:pPr>
        <w:pStyle w:val="BodyText"/>
        <w:ind w:left="874"/>
      </w:pPr>
      <w:r>
        <w:rPr>
          <w:color w:val="231F20"/>
          <w:spacing w:val="-4"/>
        </w:rPr>
        <w:t>kizáróan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nem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állapítható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meg,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fennálló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kétség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tisztázásának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időtartamára,</w:t>
      </w:r>
    </w:p>
    <w:p>
      <w:pPr>
        <w:pStyle w:val="ListParagraph"/>
        <w:numPr>
          <w:ilvl w:val="2"/>
          <w:numId w:val="2"/>
        </w:numPr>
        <w:tabs>
          <w:tab w:pos="957" w:val="left" w:leader="none"/>
        </w:tabs>
        <w:spacing w:line="232" w:lineRule="auto" w:before="1" w:after="0"/>
        <w:ind w:left="874" w:right="454" w:firstLine="0"/>
        <w:jc w:val="left"/>
        <w:rPr>
          <w:sz w:val="16"/>
        </w:rPr>
      </w:pPr>
      <w:r>
        <w:rPr>
          <w:color w:val="231F20"/>
          <w:spacing w:val="-4"/>
          <w:sz w:val="16"/>
        </w:rPr>
        <w:t>az adatkezelés jogellenessége miatt (Infotv. 20. § a) pontja alapján) az adatok törlésének lenne helye, de az Ön írásbeli nyilatkozata vagy az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6"/>
          <w:sz w:val="16"/>
        </w:rPr>
        <w:t>adatkezelő rendelkezésére álló információk alapján megalapozottan feltételezhető, hogy az adatok törlése sértené az Ön jogos érdekeit, a törlés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mellőzését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megalapozó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jogos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érdek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fennállásának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időtartamára,</w:t>
      </w:r>
    </w:p>
    <w:p>
      <w:pPr>
        <w:pStyle w:val="ListParagraph"/>
        <w:numPr>
          <w:ilvl w:val="2"/>
          <w:numId w:val="2"/>
        </w:numPr>
        <w:tabs>
          <w:tab w:pos="874" w:val="left" w:leader="none"/>
          <w:tab w:pos="956" w:val="left" w:leader="none"/>
        </w:tabs>
        <w:spacing w:line="232" w:lineRule="auto" w:before="0" w:after="0"/>
        <w:ind w:left="874" w:right="194" w:hanging="1"/>
        <w:jc w:val="left"/>
        <w:rPr>
          <w:sz w:val="16"/>
        </w:rPr>
      </w:pPr>
      <w:r>
        <w:rPr>
          <w:color w:val="231F20"/>
          <w:spacing w:val="-6"/>
          <w:sz w:val="16"/>
        </w:rPr>
        <w:t>az adatkezelés jogellenessége miatt (Infotv. 20. § a) pontja alapján) az adatok törlésének lenne helye, de az adatkezelő vagy más közfeladatot ellátó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4"/>
          <w:sz w:val="16"/>
        </w:rPr>
        <w:t>szerv által vagy részvételével végzett, jogszabályban meghatározott vizsgálatok vagy eljárások – így különösen büntetőeljárás – során az adatok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4"/>
          <w:sz w:val="16"/>
        </w:rPr>
        <w:t>bizonyítékként való megőrzése szükséges, ezen vizsgálat vagy eljárás végleges, illetve jogerős lezárásáig</w:t>
      </w:r>
    </w:p>
    <w:p>
      <w:pPr>
        <w:pStyle w:val="BodyText"/>
        <w:spacing w:line="232" w:lineRule="auto" w:before="187"/>
        <w:ind w:left="874" w:right="324"/>
      </w:pPr>
      <w:r>
        <w:rPr>
          <w:color w:val="231F20"/>
          <w:spacing w:val="-6"/>
        </w:rPr>
        <w:t>Amennyiben megítélése szerint az Önre vonatkozó személyes adatok kezelése megsérti az általános adatvédelmi rendeletet, úgy az adatkezelő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adatvédelmi tisztviselőjéhez, a lakóhelye vagy tartózkodási helye szerint </w:t>
      </w:r>
      <w:r>
        <w:rPr>
          <w:b/>
          <w:color w:val="231F20"/>
          <w:spacing w:val="-4"/>
        </w:rPr>
        <w:t>illetékes törvényszékhez fordulhat, </w:t>
      </w:r>
      <w:r>
        <w:rPr>
          <w:color w:val="231F20"/>
          <w:spacing w:val="-4"/>
        </w:rPr>
        <w:t>valamint </w:t>
      </w:r>
      <w:r>
        <w:rPr>
          <w:b/>
          <w:color w:val="231F20"/>
          <w:spacing w:val="-4"/>
        </w:rPr>
        <w:t>panaszt tehet </w:t>
      </w:r>
      <w:r>
        <w:rPr>
          <w:color w:val="231F20"/>
          <w:spacing w:val="-4"/>
        </w:rPr>
        <w:t>a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Nemzeti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Adatvédelmi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és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Információszabadság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Hatóságnál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(1055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Budapest,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Falk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Miksa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utca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9-11.,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levelezési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cím: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1363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Budapest,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Pf.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9.,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telefon:</w:t>
      </w:r>
    </w:p>
    <w:p>
      <w:pPr>
        <w:pStyle w:val="BodyText"/>
        <w:ind w:left="874"/>
      </w:pPr>
      <w:r>
        <w:rPr>
          <w:color w:val="231F20"/>
          <w:spacing w:val="-6"/>
        </w:rPr>
        <w:t>+36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(1)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391-1400;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e-mail:</w:t>
      </w:r>
      <w:r>
        <w:rPr>
          <w:color w:val="231F20"/>
          <w:spacing w:val="-5"/>
        </w:rPr>
        <w:t> </w:t>
      </w:r>
      <w:hyperlink r:id="rId10">
        <w:r>
          <w:rPr>
            <w:color w:val="231F20"/>
            <w:spacing w:val="-6"/>
          </w:rPr>
          <w:t>ugyfelszolgalat@naih.hu;</w:t>
        </w:r>
      </w:hyperlink>
      <w:r>
        <w:rPr>
          <w:color w:val="231F20"/>
          <w:spacing w:val="-5"/>
        </w:rPr>
        <w:t> </w:t>
      </w:r>
      <w:r>
        <w:rPr>
          <w:color w:val="231F20"/>
          <w:spacing w:val="-6"/>
        </w:rPr>
        <w:t>honlap:</w:t>
      </w:r>
      <w:r>
        <w:rPr>
          <w:color w:val="231F20"/>
          <w:spacing w:val="-4"/>
        </w:rPr>
        <w:t> </w:t>
      </w:r>
      <w:hyperlink r:id="rId11">
        <w:r>
          <w:rPr>
            <w:color w:val="231F20"/>
            <w:spacing w:val="-6"/>
          </w:rPr>
          <w:t>www.naih.hu).</w:t>
        </w:r>
      </w:hyperlink>
    </w:p>
    <w:sectPr>
      <w:pgSz w:w="11910" w:h="16840"/>
      <w:pgMar w:top="3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doni Bd BT">
    <w:altName w:val="Bodoni Bd BT"/>
    <w:charset w:val="0"/>
    <w:family w:val="roman"/>
    <w:pitch w:val="variable"/>
  </w:font>
  <w:font w:name="Book Antiqua">
    <w:altName w:val="Book Antiqua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527" w:hanging="142"/>
        <w:jc w:val="left"/>
      </w:pPr>
      <w:rPr>
        <w:rFonts w:hint="default" w:ascii="Book Antiqua" w:hAnsi="Book Antiqua" w:eastAsia="Book Antiqua" w:cs="Book Antiqua"/>
        <w:b/>
        <w:bCs/>
        <w:i w:val="0"/>
        <w:iCs w:val="0"/>
        <w:color w:val="231F20"/>
        <w:spacing w:val="0"/>
        <w:w w:val="93"/>
        <w:sz w:val="16"/>
        <w:szCs w:val="16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79" w:hanging="202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spacing w:val="-8"/>
        <w:w w:val="100"/>
        <w:sz w:val="16"/>
        <w:szCs w:val="16"/>
        <w:lang w:val="hu-HU" w:eastAsia="en-US" w:bidi="ar-SA"/>
      </w:rPr>
    </w:lvl>
    <w:lvl w:ilvl="2">
      <w:start w:val="0"/>
      <w:numFmt w:val="bullet"/>
      <w:lvlText w:val="-"/>
      <w:lvlJc w:val="left"/>
      <w:pPr>
        <w:ind w:left="874" w:hanging="85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spacing w:val="0"/>
        <w:w w:val="95"/>
        <w:sz w:val="16"/>
        <w:szCs w:val="16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080" w:hanging="8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464" w:hanging="8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49" w:hanging="8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34" w:hanging="8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19" w:hanging="8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03" w:hanging="85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04" w:hanging="124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5" w:hanging="12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30" w:hanging="12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46" w:hanging="12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61" w:hanging="12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77" w:hanging="12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2" w:hanging="12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07" w:hanging="12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23" w:hanging="124"/>
      </w:pPr>
      <w:rPr>
        <w:rFonts w:hint="default"/>
        <w:lang w:val="hu-H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line="192" w:lineRule="exact"/>
    </w:pPr>
    <w:rPr>
      <w:rFonts w:ascii="Book Antiqua" w:hAnsi="Book Antiqua" w:eastAsia="Book Antiqua" w:cs="Book Antiqua"/>
      <w:sz w:val="16"/>
      <w:szCs w:val="16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11" w:hanging="257"/>
      <w:outlineLvl w:val="1"/>
    </w:pPr>
    <w:rPr>
      <w:rFonts w:ascii="Book Antiqua" w:hAnsi="Book Antiqua" w:eastAsia="Book Antiqua" w:cs="Book Antiqua"/>
      <w:b/>
      <w:bCs/>
      <w:sz w:val="16"/>
      <w:szCs w:val="16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53"/>
    </w:pPr>
    <w:rPr>
      <w:rFonts w:ascii="Book Antiqua" w:hAnsi="Book Antiqua" w:eastAsia="Book Antiqua" w:cs="Book Antiqua"/>
      <w:b/>
      <w:bCs/>
      <w:sz w:val="40"/>
      <w:szCs w:val="40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957" w:hanging="83"/>
    </w:pPr>
    <w:rPr>
      <w:rFonts w:ascii="Book Antiqua" w:hAnsi="Book Antiqua" w:eastAsia="Book Antiqua" w:cs="Book Antiqua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 Antiqua" w:hAnsi="Book Antiqua" w:eastAsia="Book Antiqua" w:cs="Book Antiqua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facebook.com/" TargetMode="External"/><Relationship Id="rId7" Type="http://schemas.openxmlformats.org/officeDocument/2006/relationships/hyperlink" Target="http://www.youtube.com/" TargetMode="External"/><Relationship Id="rId8" Type="http://schemas.openxmlformats.org/officeDocument/2006/relationships/hyperlink" Target="http://www/" TargetMode="External"/><Relationship Id="rId9" Type="http://schemas.openxmlformats.org/officeDocument/2006/relationships/hyperlink" Target="mailto:info@magyarhuszar.hu" TargetMode="External"/><Relationship Id="rId10" Type="http://schemas.openxmlformats.org/officeDocument/2006/relationships/hyperlink" Target="mailto:ugyfelszolgalat@naih.hu" TargetMode="External"/><Relationship Id="rId11" Type="http://schemas.openxmlformats.org/officeDocument/2006/relationships/hyperlink" Target="http://www.naih.hu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2025-10-15T07:43:26Z</dcterms:created>
  <dcterms:modified xsi:type="dcterms:W3CDTF">2025-10-15T07:43:26Z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17.0</vt:lpwstr>
  </property>
</Properties>
</file>