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C2" w:rsidRPr="00587EC1" w:rsidRDefault="003E6FEA" w:rsidP="0055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7EC1">
        <w:rPr>
          <w:rFonts w:ascii="Times New Roman" w:hAnsi="Times New Roman" w:cs="Times New Roman"/>
          <w:b/>
          <w:sz w:val="28"/>
          <w:szCs w:val="28"/>
        </w:rPr>
        <w:t>GÉPJÁRMŰVEK ÜZEM</w:t>
      </w:r>
      <w:r w:rsidR="00B44E39" w:rsidRPr="00587EC1">
        <w:rPr>
          <w:rFonts w:ascii="Times New Roman" w:hAnsi="Times New Roman" w:cs="Times New Roman"/>
          <w:b/>
          <w:sz w:val="28"/>
          <w:szCs w:val="28"/>
        </w:rPr>
        <w:t>ELTETÉSI K</w:t>
      </w:r>
      <w:r w:rsidRPr="00587EC1">
        <w:rPr>
          <w:rFonts w:ascii="Times New Roman" w:hAnsi="Times New Roman" w:cs="Times New Roman"/>
          <w:b/>
          <w:sz w:val="28"/>
          <w:szCs w:val="28"/>
        </w:rPr>
        <w:t>ÖLTSÉG ELSZÁMOLÁSA</w:t>
      </w:r>
    </w:p>
    <w:p w:rsidR="008F259C" w:rsidRPr="00FF0FA7" w:rsidRDefault="008F259C" w:rsidP="0055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FEA" w:rsidRPr="00FF0FA7" w:rsidRDefault="003E6FEA" w:rsidP="00550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1EF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C8E">
        <w:rPr>
          <w:rFonts w:ascii="Times New Roman" w:hAnsi="Times New Roman" w:cs="Times New Roman"/>
          <w:b/>
          <w:sz w:val="24"/>
          <w:szCs w:val="24"/>
          <w:u w:val="single"/>
        </w:rPr>
        <w:t>A magánszemély saját tu</w:t>
      </w:r>
      <w:r w:rsidR="00F25F30" w:rsidRPr="00006C8E">
        <w:rPr>
          <w:rFonts w:ascii="Times New Roman" w:hAnsi="Times New Roman" w:cs="Times New Roman"/>
          <w:b/>
          <w:sz w:val="24"/>
          <w:szCs w:val="24"/>
          <w:u w:val="single"/>
        </w:rPr>
        <w:t>lajdonában lévő személygépkocsijának a</w:t>
      </w:r>
      <w:r w:rsidR="00F25F30" w:rsidRPr="00006C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kifizető érdekében történt</w:t>
      </w:r>
      <w:r w:rsidR="00F25F30" w:rsidRPr="00006C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06C8E">
        <w:rPr>
          <w:rFonts w:ascii="Times New Roman" w:hAnsi="Times New Roman" w:cs="Times New Roman"/>
          <w:b/>
          <w:sz w:val="24"/>
          <w:szCs w:val="24"/>
          <w:u w:val="single"/>
        </w:rPr>
        <w:t>hivatalos (üzleti)</w:t>
      </w:r>
      <w:r w:rsidR="003D46A9" w:rsidRPr="00006C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06C8E">
        <w:rPr>
          <w:rFonts w:ascii="Times New Roman" w:hAnsi="Times New Roman" w:cs="Times New Roman"/>
          <w:b/>
          <w:sz w:val="24"/>
          <w:szCs w:val="24"/>
          <w:u w:val="single"/>
        </w:rPr>
        <w:t>célú használat</w:t>
      </w:r>
      <w:r w:rsidR="00200A15" w:rsidRPr="00006C8E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200A15" w:rsidRPr="00006C8E">
        <w:rPr>
          <w:rFonts w:ascii="Times New Roman" w:hAnsi="Times New Roman" w:cs="Times New Roman"/>
          <w:b/>
          <w:bCs/>
          <w:sz w:val="24"/>
          <w:szCs w:val="24"/>
          <w:u w:val="single"/>
        </w:rPr>
        <w:t>esetén a gépjármű üzemeltetésével kapcsolatos költségek elszámolásának alapvető szabályai</w:t>
      </w:r>
      <w:r w:rsidR="006905A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0471EF" w:rsidRPr="00FF0FA7" w:rsidRDefault="000471EF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747" w:rsidRPr="00FF0FA7" w:rsidRDefault="00F35747" w:rsidP="00CA4697">
      <w:pPr>
        <w:pStyle w:val="Listaszerbekezds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2CD4">
        <w:rPr>
          <w:rFonts w:ascii="Times New Roman" w:hAnsi="Times New Roman" w:cs="Times New Roman"/>
          <w:b/>
          <w:sz w:val="24"/>
          <w:szCs w:val="24"/>
        </w:rPr>
        <w:t xml:space="preserve">A költségtérítés </w:t>
      </w:r>
      <w:r w:rsidRPr="00402CD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egyik </w:t>
      </w:r>
      <w:r w:rsidRPr="00402CD4">
        <w:rPr>
          <w:rFonts w:ascii="Times New Roman" w:hAnsi="Times New Roman" w:cs="Times New Roman"/>
          <w:b/>
          <w:sz w:val="24"/>
          <w:szCs w:val="24"/>
        </w:rPr>
        <w:t xml:space="preserve">módja az, amikor </w:t>
      </w:r>
      <w:r w:rsidR="008D16A5" w:rsidRPr="00006C8E">
        <w:rPr>
          <w:rFonts w:ascii="Times New Roman" w:hAnsi="Times New Roman" w:cs="Times New Roman"/>
          <w:b/>
          <w:sz w:val="24"/>
          <w:szCs w:val="24"/>
          <w:u w:val="single"/>
        </w:rPr>
        <w:t>ÚTNYILVÁNTARTÁS</w:t>
      </w:r>
      <w:r w:rsidRPr="00402CD4">
        <w:rPr>
          <w:rFonts w:ascii="Times New Roman" w:hAnsi="Times New Roman" w:cs="Times New Roman"/>
          <w:b/>
          <w:sz w:val="24"/>
          <w:szCs w:val="24"/>
        </w:rPr>
        <w:t xml:space="preserve"> alapján a ténylegesen</w:t>
      </w:r>
      <w:r w:rsidR="005501B5" w:rsidRPr="00402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CD4">
        <w:rPr>
          <w:rFonts w:ascii="Times New Roman" w:hAnsi="Times New Roman" w:cs="Times New Roman"/>
          <w:b/>
          <w:sz w:val="24"/>
          <w:szCs w:val="24"/>
        </w:rPr>
        <w:t>megtett utak figyelembevételével, vagy átalány alapján részesül</w:t>
      </w:r>
      <w:r w:rsidR="005501B5" w:rsidRPr="00402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CD4">
        <w:rPr>
          <w:rFonts w:ascii="Times New Roman" w:hAnsi="Times New Roman" w:cs="Times New Roman"/>
          <w:b/>
          <w:sz w:val="24"/>
          <w:szCs w:val="24"/>
        </w:rPr>
        <w:t>költségtérítésben a magánszemély</w:t>
      </w:r>
      <w:r w:rsidRPr="00FF0FA7">
        <w:rPr>
          <w:rFonts w:ascii="Times New Roman" w:hAnsi="Times New Roman" w:cs="Times New Roman"/>
          <w:sz w:val="24"/>
          <w:szCs w:val="24"/>
        </w:rPr>
        <w:t>. Erre legtöbbször akkor kerül sor, amikor a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saját személygépkocsiját rendszeresen használja hivatalos célra. A költségtérítés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címén kapott összeg ekkor adóköteles bevételnek számít, amellyel szemben a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felmerült költségek az üzleti (hivatali) utakra (futásteljesítmény) elszámolhatók.</w:t>
      </w:r>
    </w:p>
    <w:p w:rsidR="00F35747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 xml:space="preserve">A bevétellel szemben a költségek elszámolása </w:t>
      </w:r>
      <w:r w:rsidR="005501B5" w:rsidRPr="00FF0FA7">
        <w:rPr>
          <w:rFonts w:ascii="Times New Roman" w:hAnsi="Times New Roman" w:cs="Times New Roman"/>
          <w:sz w:val="24"/>
          <w:szCs w:val="24"/>
        </w:rPr>
        <w:t>-</w:t>
      </w:r>
      <w:r w:rsidRPr="00FF0FA7">
        <w:rPr>
          <w:rFonts w:ascii="Times New Roman" w:hAnsi="Times New Roman" w:cs="Times New Roman"/>
          <w:sz w:val="24"/>
          <w:szCs w:val="24"/>
        </w:rPr>
        <w:t xml:space="preserve"> a magánszemély választásától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 xml:space="preserve">függően </w:t>
      </w:r>
      <w:r w:rsidR="005501B5" w:rsidRPr="00FF0FA7">
        <w:rPr>
          <w:rFonts w:ascii="Times New Roman" w:hAnsi="Times New Roman" w:cs="Times New Roman"/>
          <w:sz w:val="24"/>
          <w:szCs w:val="24"/>
        </w:rPr>
        <w:t>-</w:t>
      </w:r>
      <w:r w:rsidRPr="00FF0FA7">
        <w:rPr>
          <w:rFonts w:ascii="Times New Roman" w:hAnsi="Times New Roman" w:cs="Times New Roman"/>
          <w:sz w:val="24"/>
          <w:szCs w:val="24"/>
        </w:rPr>
        <w:t xml:space="preserve"> kétféle módszerrel történhet.</w:t>
      </w:r>
    </w:p>
    <w:p w:rsidR="00F35747" w:rsidRPr="00FF0FA7" w:rsidRDefault="00351A61" w:rsidP="004B703C">
      <w:pPr>
        <w:pStyle w:val="Listaszerbekezds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b/>
          <w:sz w:val="24"/>
          <w:szCs w:val="24"/>
        </w:rPr>
        <w:t>1.1.</w:t>
      </w:r>
      <w:r w:rsidR="00C21C6D" w:rsidRPr="00FF0FA7">
        <w:rPr>
          <w:rFonts w:ascii="Times New Roman" w:hAnsi="Times New Roman" w:cs="Times New Roman"/>
          <w:b/>
          <w:sz w:val="24"/>
          <w:szCs w:val="24"/>
        </w:rPr>
        <w:t>)</w:t>
      </w:r>
      <w:r w:rsidRPr="00FF0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FEB" w:rsidRPr="0014424A">
        <w:rPr>
          <w:rFonts w:ascii="Times New Roman" w:hAnsi="Times New Roman" w:cs="Times New Roman"/>
          <w:b/>
          <w:sz w:val="24"/>
          <w:szCs w:val="24"/>
        </w:rPr>
        <w:t>Az</w:t>
      </w:r>
      <w:r w:rsidR="003D5157" w:rsidRPr="001442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157" w:rsidRPr="006978BC">
        <w:rPr>
          <w:rFonts w:ascii="Times New Roman" w:hAnsi="Times New Roman" w:cs="Times New Roman"/>
          <w:b/>
          <w:sz w:val="24"/>
          <w:szCs w:val="24"/>
        </w:rPr>
        <w:t>ü</w:t>
      </w:r>
      <w:r w:rsidR="00F35747" w:rsidRPr="006978BC">
        <w:rPr>
          <w:rFonts w:ascii="Times New Roman" w:hAnsi="Times New Roman" w:cs="Times New Roman"/>
          <w:b/>
          <w:sz w:val="24"/>
          <w:szCs w:val="24"/>
        </w:rPr>
        <w:t>zemanyagköltség címén a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35747" w:rsidRPr="006978BC">
        <w:rPr>
          <w:rFonts w:ascii="Times New Roman" w:hAnsi="Times New Roman" w:cs="Times New Roman"/>
          <w:b/>
          <w:sz w:val="24"/>
          <w:szCs w:val="24"/>
        </w:rPr>
        <w:t>kormányrendeletben meghatározott</w:t>
      </w:r>
      <w:r w:rsidR="005501B5" w:rsidRPr="00697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47" w:rsidRPr="006978BC">
        <w:rPr>
          <w:rFonts w:ascii="Times New Roman" w:hAnsi="Times New Roman" w:cs="Times New Roman"/>
          <w:b/>
          <w:sz w:val="24"/>
          <w:szCs w:val="24"/>
        </w:rPr>
        <w:t>fogyasztási norma szerinti üzemanyag-mennyiség és a NAV által</w:t>
      </w:r>
      <w:r w:rsidR="005501B5" w:rsidRPr="00697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47" w:rsidRPr="006978BC">
        <w:rPr>
          <w:rFonts w:ascii="Times New Roman" w:hAnsi="Times New Roman" w:cs="Times New Roman"/>
          <w:b/>
          <w:sz w:val="24"/>
          <w:szCs w:val="24"/>
        </w:rPr>
        <w:t xml:space="preserve">közzétett ár szorzataként meghatározott összeg, vagy a 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>számlával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sz w:val="24"/>
          <w:szCs w:val="24"/>
        </w:rPr>
        <w:t>(</w:t>
      </w:r>
      <w:r w:rsidRPr="00FF0FA7">
        <w:rPr>
          <w:rFonts w:ascii="Times New Roman" w:hAnsi="Times New Roman" w:cs="Times New Roman"/>
          <w:sz w:val="24"/>
          <w:szCs w:val="24"/>
        </w:rPr>
        <w:t xml:space="preserve">vagy 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számlákkal) 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>igazolt üzemanyag-</w:t>
      </w:r>
      <w:r w:rsidR="00F35747" w:rsidRPr="006978BC">
        <w:rPr>
          <w:rFonts w:ascii="Times New Roman" w:hAnsi="Times New Roman" w:cs="Times New Roman"/>
          <w:b/>
          <w:sz w:val="24"/>
          <w:szCs w:val="24"/>
        </w:rPr>
        <w:t>vásárlás vehető figyelembe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 azzal, hogy a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sz w:val="24"/>
          <w:szCs w:val="24"/>
        </w:rPr>
        <w:t>számla alapján figyelembe vett üzemanyag-mennyiség nem lehet több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sz w:val="24"/>
          <w:szCs w:val="24"/>
        </w:rPr>
        <w:t>mint az üzemi használatra az üzemanyag-fogyasztási normával számított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mennyiség, továbbá - a 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 xml:space="preserve">számlával </w:t>
      </w:r>
      <w:r w:rsidR="00F35747" w:rsidRPr="00FF0FA7">
        <w:rPr>
          <w:rFonts w:ascii="Times New Roman" w:hAnsi="Times New Roman" w:cs="Times New Roman"/>
          <w:sz w:val="24"/>
          <w:szCs w:val="24"/>
        </w:rPr>
        <w:t>(</w:t>
      </w:r>
      <w:r w:rsidRPr="00FF0FA7">
        <w:rPr>
          <w:rFonts w:ascii="Times New Roman" w:hAnsi="Times New Roman" w:cs="Times New Roman"/>
          <w:sz w:val="24"/>
          <w:szCs w:val="24"/>
        </w:rPr>
        <w:t xml:space="preserve">vagy </w:t>
      </w:r>
      <w:r w:rsidR="00F35747" w:rsidRPr="00FF0FA7">
        <w:rPr>
          <w:rFonts w:ascii="Times New Roman" w:hAnsi="Times New Roman" w:cs="Times New Roman"/>
          <w:sz w:val="24"/>
          <w:szCs w:val="24"/>
        </w:rPr>
        <w:t>bizonylattal)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 xml:space="preserve"> igazolt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>fenntartási,</w:t>
      </w:r>
      <w:r w:rsidR="005501B5" w:rsidRPr="00FF0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 xml:space="preserve">javítási és felújítási </w:t>
      </w:r>
      <w:r w:rsidR="00F35747" w:rsidRPr="006978BC">
        <w:rPr>
          <w:rFonts w:ascii="Times New Roman" w:hAnsi="Times New Roman" w:cs="Times New Roman"/>
          <w:b/>
          <w:sz w:val="24"/>
          <w:szCs w:val="24"/>
        </w:rPr>
        <w:t xml:space="preserve">költségek számolhatók el </w:t>
      </w:r>
      <w:r w:rsidR="00F35747" w:rsidRPr="005E6E10">
        <w:rPr>
          <w:rFonts w:ascii="Times New Roman" w:hAnsi="Times New Roman" w:cs="Times New Roman"/>
          <w:b/>
          <w:sz w:val="24"/>
          <w:szCs w:val="24"/>
        </w:rPr>
        <w:t>a hivatali célú használat</w:t>
      </w:r>
      <w:r w:rsidR="005501B5" w:rsidRPr="005E6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47" w:rsidRPr="005E6E10">
        <w:rPr>
          <w:rFonts w:ascii="Times New Roman" w:hAnsi="Times New Roman" w:cs="Times New Roman"/>
          <w:b/>
          <w:sz w:val="24"/>
          <w:szCs w:val="24"/>
        </w:rPr>
        <w:t>arányában</w:t>
      </w:r>
      <w:r w:rsidR="00F35747" w:rsidRPr="00FF0FA7">
        <w:rPr>
          <w:rFonts w:ascii="Times New Roman" w:hAnsi="Times New Roman" w:cs="Times New Roman"/>
          <w:sz w:val="24"/>
          <w:szCs w:val="24"/>
        </w:rPr>
        <w:t>.</w:t>
      </w:r>
    </w:p>
    <w:p w:rsidR="00F35747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>Az üzemanyagköltség elszámolásánál nem alkalmazhatja a NAV által közzétett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üzemanyagárat az a magánszemély, aki az üzemanyag forgalmi adóját az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áfatörvény szabályai szerint levonja. Ilyenkor az üzemanyagköltség elszámolása</w:t>
      </w:r>
      <w:r w:rsidR="005501B5" w:rsidRPr="00FF0FA7">
        <w:rPr>
          <w:rFonts w:ascii="Times New Roman" w:hAnsi="Times New Roman" w:cs="Times New Roman"/>
          <w:sz w:val="24"/>
          <w:szCs w:val="24"/>
        </w:rPr>
        <w:t xml:space="preserve"> -</w:t>
      </w:r>
      <w:r w:rsidRPr="00FF0FA7">
        <w:rPr>
          <w:rFonts w:ascii="Times New Roman" w:hAnsi="Times New Roman" w:cs="Times New Roman"/>
          <w:sz w:val="24"/>
          <w:szCs w:val="24"/>
        </w:rPr>
        <w:t xml:space="preserve"> az áfa levonása után </w:t>
      </w:r>
      <w:r w:rsidR="005501B5" w:rsidRPr="00FF0FA7">
        <w:rPr>
          <w:rFonts w:ascii="Times New Roman" w:hAnsi="Times New Roman" w:cs="Times New Roman"/>
          <w:sz w:val="24"/>
          <w:szCs w:val="24"/>
        </w:rPr>
        <w:t>-</w:t>
      </w:r>
      <w:r w:rsidRPr="00FF0FA7">
        <w:rPr>
          <w:rFonts w:ascii="Times New Roman" w:hAnsi="Times New Roman" w:cs="Times New Roman"/>
          <w:sz w:val="24"/>
          <w:szCs w:val="24"/>
        </w:rPr>
        <w:t xml:space="preserve"> kizárólag tételesen, számlák alapján történhet.</w:t>
      </w:r>
    </w:p>
    <w:p w:rsidR="00C21C6D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>Szja-törvény 3. § 45.</w:t>
      </w:r>
      <w:r w:rsidR="001777C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pontja alapján személygépkocsinak minősül a négy, illetve három gumiabroncs kerékkel</w:t>
      </w:r>
      <w:r w:rsidR="001777C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felszerelt olyan gépjármű, amely a vezetővel együtt legfeljebb nyolc felnőtt személy szállítására alkalmas, azzal,</w:t>
      </w:r>
      <w:r w:rsidR="001777C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hogy ide tartozik a benzinüzemű, a dízelüzemű, az elektromos üzemű, a gázüzemű személygépkocsi, a</w:t>
      </w:r>
      <w:r w:rsidR="001777C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versenyautó, az önjáró lakóautó.</w:t>
      </w:r>
    </w:p>
    <w:p w:rsidR="00F35747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>Személygépkocsinak minősül továbbá az a vegyes használatú, 2500 kg-ot meg</w:t>
      </w:r>
      <w:r w:rsidR="001777C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nem haladó megengedett együttes tömegű, olyan gépjármű (nagy rakodóterű személygépkocsi), amelynek</w:t>
      </w:r>
      <w:r w:rsidR="001777C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rakodótere gyárilag kialakítva kettőnél több utas szállítására alkalmas, de kézzel egyszerűen oldható</w:t>
      </w:r>
      <w:r w:rsidR="001777C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ülésrögzítése révén a teherszállításra bármikor átalakítható a válaszfal mögötti rakodótér, ideértve azt az esetet</w:t>
      </w:r>
      <w:r w:rsidR="001777C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is, ha az ülés eltávolítására visszafordíthatatlan műszaki átalakítással került sor.</w:t>
      </w:r>
    </w:p>
    <w:p w:rsidR="00C21C6D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>Az általános forgalmi adóról szóló 2007. évi CXXVII. törvény</w:t>
      </w:r>
      <w:r w:rsidR="00C21C6D" w:rsidRPr="00FF0FA7">
        <w:rPr>
          <w:rFonts w:ascii="Times New Roman" w:hAnsi="Times New Roman" w:cs="Times New Roman"/>
          <w:sz w:val="24"/>
          <w:szCs w:val="24"/>
        </w:rPr>
        <w:t xml:space="preserve"> alapján </w:t>
      </w:r>
      <w:r w:rsidRPr="00FF0FA7">
        <w:rPr>
          <w:rFonts w:ascii="Times New Roman" w:hAnsi="Times New Roman" w:cs="Times New Roman"/>
          <w:sz w:val="24"/>
          <w:szCs w:val="24"/>
        </w:rPr>
        <w:t>a költségtérítéssel szemben csak a hivatalos célú használatra jutó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költségeket lehet érvényesíteni, a helyes arány megállapítása céljából a hivatalos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utakról útnyilvántartást kell vezetni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(</w:t>
      </w:r>
      <w:r w:rsidR="0067038D" w:rsidRPr="00FF0FA7">
        <w:rPr>
          <w:rFonts w:ascii="Times New Roman" w:hAnsi="Times New Roman" w:cs="Times New Roman"/>
          <w:sz w:val="24"/>
          <w:szCs w:val="24"/>
        </w:rPr>
        <w:t>a</w:t>
      </w:r>
      <w:r w:rsidRPr="00FF0FA7">
        <w:rPr>
          <w:rFonts w:ascii="Times New Roman" w:hAnsi="Times New Roman" w:cs="Times New Roman"/>
          <w:sz w:val="24"/>
          <w:szCs w:val="24"/>
        </w:rPr>
        <w:t>z útnyilvántartást egyébként a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járművekkel kapcsolatos költségelszámolás alapbizonylatának kell tekinteni)</w:t>
      </w:r>
      <w:r w:rsidR="0067038D" w:rsidRPr="00FF0FA7">
        <w:rPr>
          <w:rFonts w:ascii="Times New Roman" w:hAnsi="Times New Roman" w:cs="Times New Roman"/>
          <w:sz w:val="24"/>
          <w:szCs w:val="24"/>
        </w:rPr>
        <w:t>.</w:t>
      </w:r>
      <w:r w:rsidR="00C21C6D" w:rsidRPr="00FF0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747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 xml:space="preserve">Az </w:t>
      </w:r>
      <w:r w:rsidRPr="00FF0FA7">
        <w:rPr>
          <w:rFonts w:ascii="Times New Roman" w:hAnsi="Times New Roman" w:cs="Times New Roman"/>
          <w:iCs/>
          <w:sz w:val="24"/>
          <w:szCs w:val="24"/>
        </w:rPr>
        <w:t xml:space="preserve">útnyilvántartásban fel kell tüntetni </w:t>
      </w:r>
      <w:r w:rsidRPr="00FF0FA7">
        <w:rPr>
          <w:rFonts w:ascii="Times New Roman" w:hAnsi="Times New Roman" w:cs="Times New Roman"/>
          <w:sz w:val="24"/>
          <w:szCs w:val="24"/>
        </w:rPr>
        <w:t>a gépjármű típusát, forgalmi rendszámát,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az üzemanyagnormát és mindazokat az adatokat, amelyek a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költségelszámoláshoz szükségesek, így többek között a kilométeróra állását az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év első és utolsó napján és a hivatali, üzleti célból megtett kilométereket.</w:t>
      </w:r>
    </w:p>
    <w:p w:rsidR="00F35747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>Ha az útnyilvántartás vezetésére kötelezett magánszemélynek jogszabály alapján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titoktartási kötelezettséggel járó tevékenysége (pl. orvosi tevékenység) során az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útnyilvántartásban olyan magánszemély adatait kell feltüntetnie, akire nézve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 xml:space="preserve">titoktartásra kötelezett, az ilyen felkeresett </w:t>
      </w:r>
      <w:proofErr w:type="gramStart"/>
      <w:r w:rsidRPr="00FF0FA7">
        <w:rPr>
          <w:rFonts w:ascii="Times New Roman" w:hAnsi="Times New Roman" w:cs="Times New Roman"/>
          <w:sz w:val="24"/>
          <w:szCs w:val="24"/>
        </w:rPr>
        <w:t>személy(</w:t>
      </w:r>
      <w:proofErr w:type="spellStart"/>
      <w:proofErr w:type="gramEnd"/>
      <w:r w:rsidRPr="00FF0FA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FF0FA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FF0FA7">
        <w:rPr>
          <w:rFonts w:ascii="Times New Roman" w:hAnsi="Times New Roman" w:cs="Times New Roman"/>
          <w:sz w:val="24"/>
          <w:szCs w:val="24"/>
        </w:rPr>
        <w:t>hez</w:t>
      </w:r>
      <w:proofErr w:type="spellEnd"/>
      <w:r w:rsidRPr="00FF0FA7">
        <w:rPr>
          <w:rFonts w:ascii="Times New Roman" w:hAnsi="Times New Roman" w:cs="Times New Roman"/>
          <w:sz w:val="24"/>
          <w:szCs w:val="24"/>
        </w:rPr>
        <w:t xml:space="preserve"> megtett utakról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köteles külön útnyilvántartást vezetni. Ezen külön útnyilvántartás tekintetében a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vezetésére kötelezettnek gondoskodnia kell arról, hogy annak tartalmát az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adóhatóság ellenőrzést végző tisztviselője kivételével harmadik személy ne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ismerhesse meg. Az adóhatóság az ilyen útnyilvántartásban foglalt adatok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rögzítésére csak akkor jogosult, ha az adóhatósági eljárás során tett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megállapításban az adatrögzítés jogszabálysértés bizonyításának alátámasztására</w:t>
      </w:r>
      <w:r w:rsidR="0067038D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szolgál.</w:t>
      </w:r>
    </w:p>
    <w:p w:rsidR="00F35747" w:rsidRPr="00FF0FA7" w:rsidRDefault="00C21C6D" w:rsidP="00CA46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FA7">
        <w:rPr>
          <w:rFonts w:ascii="Times New Roman" w:hAnsi="Times New Roman" w:cs="Times New Roman"/>
          <w:b/>
          <w:sz w:val="24"/>
          <w:szCs w:val="24"/>
        </w:rPr>
        <w:lastRenderedPageBreak/>
        <w:t>1.2.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>)</w:t>
      </w:r>
      <w:r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7306C">
        <w:rPr>
          <w:rFonts w:ascii="Times New Roman" w:hAnsi="Times New Roman" w:cs="Times New Roman"/>
          <w:sz w:val="24"/>
          <w:szCs w:val="24"/>
        </w:rPr>
        <w:t>A gépjármű</w:t>
      </w:r>
      <w:r w:rsidR="00F06F3B" w:rsidRPr="00FF0F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sz w:val="24"/>
          <w:szCs w:val="24"/>
        </w:rPr>
        <w:t>üzemanyagköltség</w:t>
      </w:r>
      <w:r w:rsidR="00F7306C">
        <w:rPr>
          <w:rFonts w:ascii="Times New Roman" w:hAnsi="Times New Roman" w:cs="Times New Roman"/>
          <w:sz w:val="24"/>
          <w:szCs w:val="24"/>
        </w:rPr>
        <w:t>e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 mellett a számlák, bizonylatok alapján elszámolt</w:t>
      </w:r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35747" w:rsidRPr="005E6E10">
        <w:rPr>
          <w:rFonts w:ascii="Times New Roman" w:hAnsi="Times New Roman" w:cs="Times New Roman"/>
          <w:b/>
          <w:sz w:val="24"/>
          <w:szCs w:val="24"/>
        </w:rPr>
        <w:t>egyéb járműhasználattal összefüggő költségek helyett a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35747" w:rsidRPr="00402CD4">
        <w:rPr>
          <w:rFonts w:ascii="Times New Roman" w:hAnsi="Times New Roman" w:cs="Times New Roman"/>
          <w:b/>
          <w:sz w:val="24"/>
          <w:szCs w:val="24"/>
        </w:rPr>
        <w:t>kilométerenkénti</w:t>
      </w:r>
      <w:r w:rsidR="006262B4" w:rsidRPr="00402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128">
        <w:rPr>
          <w:rFonts w:ascii="Times New Roman" w:hAnsi="Times New Roman" w:cs="Times New Roman"/>
          <w:b/>
          <w:sz w:val="24"/>
          <w:szCs w:val="24"/>
        </w:rPr>
        <w:t>15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 xml:space="preserve"> forint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>általános személygépkocsi-</w:t>
      </w:r>
      <w:r w:rsidR="00F35747" w:rsidRPr="00402CD4">
        <w:rPr>
          <w:rFonts w:ascii="Times New Roman" w:hAnsi="Times New Roman" w:cs="Times New Roman"/>
          <w:b/>
          <w:sz w:val="24"/>
          <w:szCs w:val="24"/>
        </w:rPr>
        <w:t>normaköltség vehető figyelembe</w:t>
      </w:r>
      <w:r w:rsidR="00F35747" w:rsidRPr="00FF0FA7">
        <w:rPr>
          <w:rFonts w:ascii="Times New Roman" w:hAnsi="Times New Roman" w:cs="Times New Roman"/>
          <w:sz w:val="24"/>
          <w:szCs w:val="24"/>
        </w:rPr>
        <w:t>.</w:t>
      </w:r>
    </w:p>
    <w:p w:rsidR="008704D8" w:rsidRPr="002D1F44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>A magánszemély választhat a kétféle módszer között, választása azonban egész</w:t>
      </w:r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évre és valamennyi általa használt személygépjárműre vonatkozik. Abban az</w:t>
      </w:r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esetben, ha a magánszemély a saját tulajdonban lévő személygépkocsi hivatali</w:t>
      </w:r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 xml:space="preserve">(üzleti) célú használatára </w:t>
      </w:r>
      <w:r w:rsidRPr="002D1F44">
        <w:rPr>
          <w:rFonts w:ascii="Times New Roman" w:hAnsi="Times New Roman" w:cs="Times New Roman"/>
          <w:sz w:val="24"/>
          <w:szCs w:val="24"/>
        </w:rPr>
        <w:t>tekintettel útnyilvántartás alapján költséget számol el,</w:t>
      </w:r>
      <w:r w:rsidR="006262B4" w:rsidRPr="002D1F44">
        <w:rPr>
          <w:rFonts w:ascii="Times New Roman" w:hAnsi="Times New Roman" w:cs="Times New Roman"/>
          <w:sz w:val="24"/>
          <w:szCs w:val="24"/>
        </w:rPr>
        <w:t xml:space="preserve"> </w:t>
      </w:r>
      <w:r w:rsidRPr="002D1F44">
        <w:rPr>
          <w:rFonts w:ascii="Times New Roman" w:hAnsi="Times New Roman" w:cs="Times New Roman"/>
          <w:sz w:val="24"/>
          <w:szCs w:val="24"/>
        </w:rPr>
        <w:t>akkor számolnia kell azzal is, hogy a költségelszámolás miatt cégautó</w:t>
      </w:r>
      <w:r w:rsidR="007A3908" w:rsidRPr="002D1F44">
        <w:rPr>
          <w:rFonts w:ascii="Times New Roman" w:hAnsi="Times New Roman" w:cs="Times New Roman"/>
          <w:sz w:val="24"/>
          <w:szCs w:val="24"/>
        </w:rPr>
        <w:t xml:space="preserve"> </w:t>
      </w:r>
      <w:r w:rsidRPr="002D1F44">
        <w:rPr>
          <w:rFonts w:ascii="Times New Roman" w:hAnsi="Times New Roman" w:cs="Times New Roman"/>
          <w:sz w:val="24"/>
          <w:szCs w:val="24"/>
        </w:rPr>
        <w:t>adó</w:t>
      </w:r>
      <w:r w:rsidR="006262B4" w:rsidRPr="002D1F44">
        <w:rPr>
          <w:rFonts w:ascii="Times New Roman" w:hAnsi="Times New Roman" w:cs="Times New Roman"/>
          <w:sz w:val="24"/>
          <w:szCs w:val="24"/>
        </w:rPr>
        <w:t xml:space="preserve"> </w:t>
      </w:r>
      <w:r w:rsidRPr="002D1F44">
        <w:rPr>
          <w:rFonts w:ascii="Times New Roman" w:hAnsi="Times New Roman" w:cs="Times New Roman"/>
          <w:sz w:val="24"/>
          <w:szCs w:val="24"/>
        </w:rPr>
        <w:t>fizetésére kötelezett.</w:t>
      </w:r>
    </w:p>
    <w:p w:rsidR="008704D8" w:rsidRPr="002D1F44" w:rsidRDefault="008704D8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697" w:rsidRPr="002D1F44" w:rsidRDefault="003D5157" w:rsidP="004B703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4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F35747" w:rsidRPr="002D1F4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B703C" w:rsidRPr="002D1F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A1550" w:rsidRPr="002D1F44">
        <w:rPr>
          <w:rFonts w:ascii="Times New Roman" w:hAnsi="Times New Roman" w:cs="Times New Roman"/>
          <w:b/>
          <w:sz w:val="24"/>
          <w:szCs w:val="24"/>
        </w:rPr>
        <w:t>A költségtérítés másik</w:t>
      </w:r>
      <w:r w:rsidR="004A1550" w:rsidRPr="002D1F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A1550" w:rsidRPr="002D1F44">
        <w:rPr>
          <w:rFonts w:ascii="Times New Roman" w:hAnsi="Times New Roman" w:cs="Times New Roman"/>
          <w:b/>
          <w:sz w:val="24"/>
          <w:szCs w:val="24"/>
        </w:rPr>
        <w:t xml:space="preserve">módja az, amikor </w:t>
      </w:r>
      <w:r w:rsidR="00F35747" w:rsidRPr="002D1F44">
        <w:rPr>
          <w:rFonts w:ascii="Times New Roman" w:hAnsi="Times New Roman" w:cs="Times New Roman"/>
          <w:b/>
          <w:sz w:val="24"/>
          <w:szCs w:val="24"/>
        </w:rPr>
        <w:t>magánszemély saját személygépjárművének hivatali célú használatáért a</w:t>
      </w:r>
      <w:r w:rsidR="006262B4" w:rsidRPr="002D1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47" w:rsidRPr="002D1F44">
        <w:rPr>
          <w:rFonts w:ascii="Times New Roman" w:hAnsi="Times New Roman" w:cs="Times New Roman"/>
          <w:b/>
          <w:sz w:val="24"/>
          <w:szCs w:val="24"/>
        </w:rPr>
        <w:t xml:space="preserve">kifizetőtől </w:t>
      </w:r>
      <w:r w:rsidR="008D16A5" w:rsidRPr="002D1F44">
        <w:rPr>
          <w:rFonts w:ascii="Times New Roman" w:hAnsi="Times New Roman" w:cs="Times New Roman"/>
          <w:b/>
          <w:bCs/>
          <w:sz w:val="24"/>
          <w:szCs w:val="24"/>
          <w:u w:val="single"/>
        </w:rPr>
        <w:t>KIKÜLDETÉSI RENDELVÉNY</w:t>
      </w:r>
      <w:r w:rsidR="00F35747" w:rsidRPr="002D1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747" w:rsidRPr="002D1F44">
        <w:rPr>
          <w:rFonts w:ascii="Times New Roman" w:hAnsi="Times New Roman" w:cs="Times New Roman"/>
          <w:b/>
          <w:sz w:val="24"/>
          <w:szCs w:val="24"/>
        </w:rPr>
        <w:t>alapján is kaphat költségtérítést</w:t>
      </w:r>
      <w:r w:rsidR="00F35747" w:rsidRPr="002D1F44">
        <w:rPr>
          <w:rFonts w:ascii="Times New Roman" w:hAnsi="Times New Roman" w:cs="Times New Roman"/>
          <w:sz w:val="24"/>
          <w:szCs w:val="24"/>
        </w:rPr>
        <w:t>.</w:t>
      </w:r>
    </w:p>
    <w:p w:rsidR="00BC25B2" w:rsidRPr="00BC25B2" w:rsidRDefault="00BC25B2" w:rsidP="00C86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C25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="00C86FAE" w:rsidRPr="00C86FA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iküldetésnek a munkáltató által elrendelt, a munkáltató tevékenységével összefüggő feladat ellátása érdekében szükséges utazás minősül.</w:t>
      </w:r>
      <w:r w:rsidR="00C86FAE" w:rsidRPr="00BC25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C86FAE" w:rsidRPr="002D1F44" w:rsidRDefault="00C86FAE" w:rsidP="00C86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F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értelmező rendelkezés </w:t>
      </w:r>
      <w:r w:rsidR="00BC25B2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</w:t>
      </w:r>
      <w:r w:rsidRPr="00C86FA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kiküldetésnek minősül különösen a munkaszerződéstől eltérő foglalkoztatás keretében a munkaszerződéstől eltérő helyen történő munkavégzés is.</w:t>
      </w:r>
    </w:p>
    <w:p w:rsidR="00C86FAE" w:rsidRPr="006D3EB2" w:rsidRDefault="00C86FAE" w:rsidP="00C86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6FAE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Továbbra sem tekinthető azonban kiküldetésnek a lakóhelyről, tartózkodási helyről a munkahelyre történő oda- és visszautazás. A fogalmi meghatározás szempontjából munkahelynek a munkáltató azon telephelye minősül, ahol a munkavállaló a munkáját szokás szerint végzi. Ilyen telephely hiányában vagy több ilyen telephely esetén a munkáltató székhelyét kell munkahelynek tekinteni.</w:t>
      </w:r>
    </w:p>
    <w:p w:rsidR="00F35747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EB2">
        <w:rPr>
          <w:rFonts w:ascii="Times New Roman" w:hAnsi="Times New Roman" w:cs="Times New Roman"/>
          <w:sz w:val="24"/>
          <w:szCs w:val="24"/>
        </w:rPr>
        <w:t xml:space="preserve">Az </w:t>
      </w:r>
      <w:r w:rsidR="006262B4" w:rsidRPr="006D3EB2">
        <w:rPr>
          <w:rFonts w:ascii="Times New Roman" w:hAnsi="Times New Roman" w:cs="Times New Roman"/>
          <w:sz w:val="24"/>
          <w:szCs w:val="24"/>
        </w:rPr>
        <w:t xml:space="preserve">szja-törvény </w:t>
      </w:r>
      <w:r w:rsidRPr="006D3EB2">
        <w:rPr>
          <w:rFonts w:ascii="Times New Roman" w:hAnsi="Times New Roman" w:cs="Times New Roman"/>
          <w:sz w:val="24"/>
          <w:szCs w:val="24"/>
        </w:rPr>
        <w:t>kötelezően előírja a kiküldetési rendelvény tartalmi követelményeit.</w:t>
      </w:r>
      <w:r w:rsidR="004A1550" w:rsidRPr="006D3EB2">
        <w:rPr>
          <w:rFonts w:ascii="Times New Roman" w:hAnsi="Times New Roman" w:cs="Times New Roman"/>
          <w:sz w:val="24"/>
          <w:szCs w:val="24"/>
        </w:rPr>
        <w:t xml:space="preserve"> </w:t>
      </w:r>
      <w:r w:rsidRPr="006D3EB2">
        <w:rPr>
          <w:rFonts w:ascii="Times New Roman" w:hAnsi="Times New Roman" w:cs="Times New Roman"/>
          <w:sz w:val="24"/>
          <w:szCs w:val="24"/>
        </w:rPr>
        <w:t>Eszerint a</w:t>
      </w:r>
      <w:r w:rsidRPr="002D1F44">
        <w:rPr>
          <w:rFonts w:ascii="Times New Roman" w:hAnsi="Times New Roman" w:cs="Times New Roman"/>
          <w:sz w:val="24"/>
          <w:szCs w:val="24"/>
        </w:rPr>
        <w:t xml:space="preserve"> </w:t>
      </w:r>
      <w:r w:rsidRPr="002D1F44">
        <w:rPr>
          <w:rFonts w:ascii="Times New Roman" w:hAnsi="Times New Roman" w:cs="Times New Roman"/>
          <w:iCs/>
          <w:sz w:val="24"/>
          <w:szCs w:val="24"/>
        </w:rPr>
        <w:t xml:space="preserve">kiküldetési rendelvény </w:t>
      </w:r>
      <w:r w:rsidRPr="002D1F44">
        <w:rPr>
          <w:rFonts w:ascii="Times New Roman" w:hAnsi="Times New Roman" w:cs="Times New Roman"/>
          <w:sz w:val="24"/>
          <w:szCs w:val="24"/>
        </w:rPr>
        <w:t>a kifizető által két példányban kiállított</w:t>
      </w:r>
      <w:r w:rsidR="006262B4" w:rsidRPr="002D1F44">
        <w:rPr>
          <w:rFonts w:ascii="Times New Roman" w:hAnsi="Times New Roman" w:cs="Times New Roman"/>
          <w:sz w:val="24"/>
          <w:szCs w:val="24"/>
        </w:rPr>
        <w:t xml:space="preserve"> </w:t>
      </w:r>
      <w:r w:rsidRPr="002D1F44">
        <w:rPr>
          <w:rFonts w:ascii="Times New Roman" w:hAnsi="Times New Roman" w:cs="Times New Roman"/>
          <w:sz w:val="24"/>
          <w:szCs w:val="24"/>
        </w:rPr>
        <w:t>bizonylat, amely tartalmazza a</w:t>
      </w:r>
      <w:r w:rsidRPr="00FF0FA7">
        <w:rPr>
          <w:rFonts w:ascii="Times New Roman" w:hAnsi="Times New Roman" w:cs="Times New Roman"/>
          <w:sz w:val="24"/>
          <w:szCs w:val="24"/>
        </w:rPr>
        <w:t xml:space="preserve"> magánszemély nevét, adóazonosító jelét, a</w:t>
      </w:r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gépjármű gyártmányának, típusának megnevezését, forgalmi rendszámát, a</w:t>
      </w:r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hivatali, üzleti utazás(ok) célját, időtartamát, útvonalát, a futásteljesítményt, az</w:t>
      </w:r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 xml:space="preserve">utazás költségtérítését, az élelmezési költségtérítést, valamint </w:t>
      </w:r>
      <w:proofErr w:type="gramStart"/>
      <w:r w:rsidRPr="00FF0FA7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költségtérítés(</w:t>
      </w:r>
      <w:proofErr w:type="spellStart"/>
      <w:r w:rsidRPr="00FF0FA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FF0FA7">
        <w:rPr>
          <w:rFonts w:ascii="Times New Roman" w:hAnsi="Times New Roman" w:cs="Times New Roman"/>
          <w:sz w:val="24"/>
          <w:szCs w:val="24"/>
        </w:rPr>
        <w:t>) kiszámításához szükséges adatokat (üzemanyag-fogyasztási</w:t>
      </w:r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norma, üzemanyagár stb.).</w:t>
      </w:r>
      <w:r w:rsidR="006262B4" w:rsidRPr="00FF0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5D1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>Az szja-törvény 5. számú melléklet II. 7. pontja szerinti részletező nyilvántartás</w:t>
      </w:r>
      <w:r w:rsidR="008F312A" w:rsidRPr="00FF0FA7">
        <w:rPr>
          <w:rFonts w:ascii="Times New Roman" w:hAnsi="Times New Roman" w:cs="Times New Roman"/>
          <w:sz w:val="24"/>
          <w:szCs w:val="24"/>
        </w:rPr>
        <w:t>,</w:t>
      </w:r>
      <w:r w:rsidR="009655D1" w:rsidRPr="00FF0FA7">
        <w:rPr>
          <w:rFonts w:ascii="Times New Roman" w:hAnsi="Times New Roman" w:cs="Times New Roman"/>
          <w:sz w:val="24"/>
          <w:szCs w:val="24"/>
        </w:rPr>
        <w:t xml:space="preserve"> a</w:t>
      </w:r>
      <w:r w:rsidRPr="00FF0FA7">
        <w:rPr>
          <w:rFonts w:ascii="Times New Roman" w:hAnsi="Times New Roman" w:cs="Times New Roman"/>
          <w:sz w:val="24"/>
          <w:szCs w:val="24"/>
        </w:rPr>
        <w:t xml:space="preserve"> kiküldetési rendelvény eredeti példányát a kifizetőnek, másolatát a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magánszemélynek a bizonylatmegőrzésre vonatkozó rendelkezések betartásával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kell megőriznie.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C8D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8D">
        <w:rPr>
          <w:rFonts w:ascii="Times New Roman" w:hAnsi="Times New Roman" w:cs="Times New Roman"/>
          <w:b/>
          <w:sz w:val="24"/>
          <w:szCs w:val="24"/>
        </w:rPr>
        <w:t>A kiküldetési rendelvénnyel kapcsolatban fontos hangsúlyozni, hogy nem csak a</w:t>
      </w:r>
      <w:r w:rsidR="00A62F34" w:rsidRPr="00475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C8D">
        <w:rPr>
          <w:rFonts w:ascii="Times New Roman" w:hAnsi="Times New Roman" w:cs="Times New Roman"/>
          <w:b/>
          <w:sz w:val="24"/>
          <w:szCs w:val="24"/>
        </w:rPr>
        <w:t>munkaviszonyra tekintettel állítható ki kiküldetési rendelvény, hanem más</w:t>
      </w:r>
      <w:r w:rsidR="00A62F34" w:rsidRPr="00475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C8D">
        <w:rPr>
          <w:rFonts w:ascii="Times New Roman" w:hAnsi="Times New Roman" w:cs="Times New Roman"/>
          <w:b/>
          <w:sz w:val="24"/>
          <w:szCs w:val="24"/>
        </w:rPr>
        <w:t>jogviszonyok (pl. megbízás, tagi, vezető tisztségviselő, választott tisztségviselő</w:t>
      </w:r>
      <w:r w:rsidR="00A62F34" w:rsidRPr="00475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C8D">
        <w:rPr>
          <w:rFonts w:ascii="Times New Roman" w:hAnsi="Times New Roman" w:cs="Times New Roman"/>
          <w:b/>
          <w:sz w:val="24"/>
          <w:szCs w:val="24"/>
        </w:rPr>
        <w:t>jogviszony stb.) alapján is.</w:t>
      </w:r>
    </w:p>
    <w:p w:rsidR="006D3EB2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EB2">
        <w:rPr>
          <w:rFonts w:ascii="Times New Roman" w:hAnsi="Times New Roman" w:cs="Times New Roman"/>
          <w:b/>
          <w:sz w:val="24"/>
          <w:szCs w:val="24"/>
        </w:rPr>
        <w:t>Alkalmazható a kiküldetési rendelvény akkor is, ha a</w:t>
      </w:r>
      <w:r w:rsidR="00A62F34" w:rsidRPr="006D3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EB2">
        <w:rPr>
          <w:rFonts w:ascii="Times New Roman" w:hAnsi="Times New Roman" w:cs="Times New Roman"/>
          <w:b/>
          <w:sz w:val="24"/>
          <w:szCs w:val="24"/>
        </w:rPr>
        <w:t>magánszemély a tevékenységért juttatásban nem részesül, azt „közérdekű”</w:t>
      </w:r>
      <w:r w:rsidR="00A62F34" w:rsidRPr="006D3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EB2">
        <w:rPr>
          <w:rFonts w:ascii="Times New Roman" w:hAnsi="Times New Roman" w:cs="Times New Roman"/>
          <w:b/>
          <w:sz w:val="24"/>
          <w:szCs w:val="24"/>
        </w:rPr>
        <w:t>munka keretében végzi, csak járműhasználattal kapcsolatos költségeinek a</w:t>
      </w:r>
      <w:r w:rsidR="00A62F34" w:rsidRPr="006D3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EB2">
        <w:rPr>
          <w:rFonts w:ascii="Times New Roman" w:hAnsi="Times New Roman" w:cs="Times New Roman"/>
          <w:b/>
          <w:sz w:val="24"/>
          <w:szCs w:val="24"/>
        </w:rPr>
        <w:t>megtérítését kéri.</w:t>
      </w:r>
    </w:p>
    <w:p w:rsidR="006D3EB2" w:rsidRPr="006D3EB2" w:rsidRDefault="006D3EB2" w:rsidP="006D3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3E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saját tulajdonú személygépkocsi hivatalos, üzleti célú használata esetén elszámolható általános személygépkocsi-normaköltség </w:t>
      </w:r>
      <w:r w:rsidRPr="006D3EB2">
        <w:rPr>
          <w:rFonts w:ascii="Times New Roman" w:hAnsi="Times New Roman" w:cs="Times New Roman"/>
          <w:b/>
          <w:sz w:val="24"/>
          <w:szCs w:val="24"/>
        </w:rPr>
        <w:t>kilométerenként 1</w:t>
      </w:r>
      <w:r w:rsidRPr="006D3EB2">
        <w:rPr>
          <w:rFonts w:ascii="Times New Roman" w:hAnsi="Times New Roman" w:cs="Times New Roman"/>
          <w:b/>
          <w:bCs/>
          <w:sz w:val="24"/>
          <w:szCs w:val="24"/>
        </w:rPr>
        <w:t>5 forint</w:t>
      </w:r>
      <w:r w:rsidRPr="006D3E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A62F34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10">
        <w:rPr>
          <w:rFonts w:ascii="Times New Roman" w:hAnsi="Times New Roman" w:cs="Times New Roman"/>
          <w:b/>
          <w:sz w:val="24"/>
          <w:szCs w:val="24"/>
        </w:rPr>
        <w:t>Amennyiben a térítés mértéke nem több a jogszabály szerint igazolás nélkül</w:t>
      </w:r>
      <w:r w:rsidR="00A62F34" w:rsidRPr="005E6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E10">
        <w:rPr>
          <w:rFonts w:ascii="Times New Roman" w:hAnsi="Times New Roman" w:cs="Times New Roman"/>
          <w:b/>
          <w:sz w:val="24"/>
          <w:szCs w:val="24"/>
        </w:rPr>
        <w:t>elszámolható</w:t>
      </w:r>
      <w:r w:rsidR="00A62F34" w:rsidRPr="005E6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E10">
        <w:rPr>
          <w:rFonts w:ascii="Times New Roman" w:hAnsi="Times New Roman" w:cs="Times New Roman"/>
          <w:b/>
          <w:sz w:val="24"/>
          <w:szCs w:val="24"/>
        </w:rPr>
        <w:t xml:space="preserve">mértéknél </w:t>
      </w:r>
      <w:r w:rsidR="00A62F34" w:rsidRPr="005E6E10">
        <w:rPr>
          <w:rFonts w:ascii="Times New Roman" w:hAnsi="Times New Roman" w:cs="Times New Roman"/>
          <w:b/>
          <w:sz w:val="24"/>
          <w:szCs w:val="24"/>
        </w:rPr>
        <w:t>(</w:t>
      </w:r>
      <w:r w:rsidRPr="005E6E10">
        <w:rPr>
          <w:rFonts w:ascii="Times New Roman" w:hAnsi="Times New Roman" w:cs="Times New Roman"/>
          <w:b/>
          <w:sz w:val="24"/>
          <w:szCs w:val="24"/>
        </w:rPr>
        <w:t>ez a mérték a hivatalos célra megtett kilométerekre a</w:t>
      </w:r>
      <w:r w:rsidR="00A62F34" w:rsidRPr="005E6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E10">
        <w:rPr>
          <w:rFonts w:ascii="Times New Roman" w:hAnsi="Times New Roman" w:cs="Times New Roman"/>
          <w:b/>
          <w:sz w:val="24"/>
          <w:szCs w:val="24"/>
        </w:rPr>
        <w:t>kormányrendeletben meghatározott üzemanyag-fogyasztási norma alapján a</w:t>
      </w:r>
      <w:r w:rsidR="00A62F34" w:rsidRPr="005E6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E10">
        <w:rPr>
          <w:rFonts w:ascii="Times New Roman" w:hAnsi="Times New Roman" w:cs="Times New Roman"/>
          <w:b/>
          <w:sz w:val="24"/>
          <w:szCs w:val="24"/>
        </w:rPr>
        <w:t>NAV által közzétett üzemanyagárral számított üzemanyagköltség és a</w:t>
      </w:r>
      <w:r w:rsidR="00A62F34" w:rsidRPr="005E6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E10">
        <w:rPr>
          <w:rFonts w:ascii="Times New Roman" w:hAnsi="Times New Roman" w:cs="Times New Roman"/>
          <w:b/>
          <w:sz w:val="24"/>
          <w:szCs w:val="24"/>
        </w:rPr>
        <w:t xml:space="preserve">kilométerenkénti </w:t>
      </w:r>
      <w:r w:rsidR="00C86FAE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5E6E10">
        <w:rPr>
          <w:rFonts w:ascii="Times New Roman" w:hAnsi="Times New Roman" w:cs="Times New Roman"/>
          <w:b/>
          <w:bCs/>
          <w:sz w:val="24"/>
          <w:szCs w:val="24"/>
        </w:rPr>
        <w:t xml:space="preserve"> forint </w:t>
      </w:r>
      <w:r w:rsidRPr="005E6E10">
        <w:rPr>
          <w:rFonts w:ascii="Times New Roman" w:hAnsi="Times New Roman" w:cs="Times New Roman"/>
          <w:b/>
          <w:sz w:val="24"/>
          <w:szCs w:val="24"/>
        </w:rPr>
        <w:t>általános személygépkocsi-normaköltség</w:t>
      </w:r>
      <w:r w:rsidR="00A62F34" w:rsidRPr="005E6E10">
        <w:rPr>
          <w:rFonts w:ascii="Times New Roman" w:hAnsi="Times New Roman" w:cs="Times New Roman"/>
          <w:b/>
          <w:sz w:val="24"/>
          <w:szCs w:val="24"/>
        </w:rPr>
        <w:t>)</w:t>
      </w:r>
      <w:r w:rsidRPr="005E6E10">
        <w:rPr>
          <w:rFonts w:ascii="Times New Roman" w:hAnsi="Times New Roman" w:cs="Times New Roman"/>
          <w:b/>
          <w:sz w:val="24"/>
          <w:szCs w:val="24"/>
        </w:rPr>
        <w:t>, akkor azt</w:t>
      </w:r>
      <w:r w:rsidR="00A62F34" w:rsidRPr="005E6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E10">
        <w:rPr>
          <w:rFonts w:ascii="Times New Roman" w:hAnsi="Times New Roman" w:cs="Times New Roman"/>
          <w:b/>
          <w:sz w:val="24"/>
          <w:szCs w:val="24"/>
        </w:rPr>
        <w:t>nem kell bevételként</w:t>
      </w:r>
      <w:r w:rsidRPr="00FF0FA7">
        <w:rPr>
          <w:rFonts w:ascii="Times New Roman" w:hAnsi="Times New Roman" w:cs="Times New Roman"/>
          <w:b/>
          <w:sz w:val="24"/>
          <w:szCs w:val="24"/>
        </w:rPr>
        <w:t xml:space="preserve"> figyelembe vennie a magánszemélynek</w:t>
      </w:r>
      <w:r w:rsidRPr="00FF0FA7">
        <w:rPr>
          <w:rFonts w:ascii="Times New Roman" w:hAnsi="Times New Roman" w:cs="Times New Roman"/>
          <w:sz w:val="24"/>
          <w:szCs w:val="24"/>
        </w:rPr>
        <w:t>.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Ez azt is jelenti a gyakorlatban, ha a magánszemélynek más jogviszonya miatt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további hivatali, üzleti útja van (pl. egyéni vállalkozó), akkor a bevételnek nem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számító költségtérítéssel érintett utakat magáncélúnak kell tekinteni, a többi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tevékenységével összefüggő üzleti célból megtett utak tekintetében választhat,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 xml:space="preserve">hogy az üzemanyagköltség elszámolása mellett a kilométerenkénti </w:t>
      </w:r>
      <w:r w:rsidR="00C86FAE">
        <w:rPr>
          <w:rFonts w:ascii="Times New Roman" w:hAnsi="Times New Roman" w:cs="Times New Roman"/>
          <w:sz w:val="24"/>
          <w:szCs w:val="24"/>
        </w:rPr>
        <w:t>15</w:t>
      </w:r>
      <w:r w:rsidRPr="00FF0FA7">
        <w:rPr>
          <w:rFonts w:ascii="Times New Roman" w:hAnsi="Times New Roman" w:cs="Times New Roman"/>
          <w:sz w:val="24"/>
          <w:szCs w:val="24"/>
        </w:rPr>
        <w:t xml:space="preserve"> forintot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alkalmazza, vagy a számlák alapján az üzleti célból megtett utak arányában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számolja el azokat.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F34" w:rsidRPr="00FF0FA7" w:rsidRDefault="00F35747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b/>
          <w:sz w:val="24"/>
          <w:szCs w:val="24"/>
        </w:rPr>
        <w:t>Abban az esetben, ha a kifizető a kiküldetési rendelvény alapján a jogszabályban</w:t>
      </w:r>
      <w:r w:rsidR="00A62F34" w:rsidRPr="00FF0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b/>
          <w:sz w:val="24"/>
          <w:szCs w:val="24"/>
        </w:rPr>
        <w:t>meghatározott mértéket meghaladó térítést fizet, akkor a teljes összeg adóköteles</w:t>
      </w:r>
      <w:r w:rsidR="00A62F34" w:rsidRPr="00FF0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b/>
          <w:sz w:val="24"/>
          <w:szCs w:val="24"/>
        </w:rPr>
        <w:t>bevételnek minősül</w:t>
      </w:r>
      <w:r w:rsidRPr="00FF0FA7">
        <w:rPr>
          <w:rFonts w:ascii="Times New Roman" w:hAnsi="Times New Roman" w:cs="Times New Roman"/>
          <w:sz w:val="24"/>
          <w:szCs w:val="24"/>
        </w:rPr>
        <w:t>.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 xml:space="preserve">A költségelszámolást illetően ekkor a magánszemélynek választási </w:t>
      </w:r>
      <w:r w:rsidRPr="00FF0FA7">
        <w:rPr>
          <w:rFonts w:ascii="Times New Roman" w:hAnsi="Times New Roman" w:cs="Times New Roman"/>
          <w:sz w:val="24"/>
          <w:szCs w:val="24"/>
        </w:rPr>
        <w:lastRenderedPageBreak/>
        <w:t>lehetősége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van. Vagy az igazolás nélkül elszámolható összeget veszi figyelembe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költségként, és a térítés fennmaradó része után fizet az adott jogviszonyra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tekintettel adót, vagy a felmerült költségeket a hivatali célból megtett utakra a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hivatali és a magáncélból megtett utak arányában számolja el igazolás (számla,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más bizonylatok) alapján.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Ez utóbbi választás azt is jelenti a gyakorlatban, hogy a költségelszámolásra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tekintettel - a személygépkocsi tulajdonosának, illetve akkor is, ha annak</w:t>
      </w:r>
      <w:r w:rsidR="008F312A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 xml:space="preserve">pénzügyi lízingbevevője a magánszemély </w:t>
      </w:r>
      <w:r w:rsidR="00C86FAE">
        <w:rPr>
          <w:rFonts w:ascii="Times New Roman" w:hAnsi="Times New Roman" w:cs="Times New Roman"/>
          <w:sz w:val="24"/>
          <w:szCs w:val="24"/>
        </w:rPr>
        <w:t>-</w:t>
      </w:r>
      <w:r w:rsidRPr="00FF0FA7">
        <w:rPr>
          <w:rFonts w:ascii="Times New Roman" w:hAnsi="Times New Roman" w:cs="Times New Roman"/>
          <w:sz w:val="24"/>
          <w:szCs w:val="24"/>
        </w:rPr>
        <w:t xml:space="preserve"> cégautó</w:t>
      </w:r>
      <w:r w:rsidR="008D16A5">
        <w:rPr>
          <w:rFonts w:ascii="Times New Roman" w:hAnsi="Times New Roman" w:cs="Times New Roman"/>
          <w:sz w:val="24"/>
          <w:szCs w:val="24"/>
        </w:rPr>
        <w:t xml:space="preserve"> </w:t>
      </w:r>
      <w:r w:rsidRPr="00FF0FA7">
        <w:rPr>
          <w:rFonts w:ascii="Times New Roman" w:hAnsi="Times New Roman" w:cs="Times New Roman"/>
          <w:sz w:val="24"/>
          <w:szCs w:val="24"/>
        </w:rPr>
        <w:t>adót kell fizetni.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12A" w:rsidRPr="00FF0FA7" w:rsidRDefault="008F312A" w:rsidP="003D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5747" w:rsidRPr="00FF0FA7" w:rsidRDefault="008F312A" w:rsidP="004B703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35747" w:rsidRPr="00FF0FA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F0F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5747" w:rsidRPr="004B703C">
        <w:rPr>
          <w:rFonts w:ascii="Times New Roman" w:hAnsi="Times New Roman" w:cs="Times New Roman"/>
          <w:b/>
          <w:sz w:val="24"/>
          <w:szCs w:val="24"/>
        </w:rPr>
        <w:t xml:space="preserve">Amennyiben a magánszemély saját tulajdonú </w:t>
      </w:r>
      <w:r w:rsidR="00F35747" w:rsidRPr="006315E1">
        <w:rPr>
          <w:rFonts w:ascii="Times New Roman" w:hAnsi="Times New Roman" w:cs="Times New Roman"/>
          <w:b/>
          <w:bCs/>
          <w:sz w:val="24"/>
          <w:szCs w:val="24"/>
          <w:u w:val="single"/>
        </w:rPr>
        <w:t>tehergépjármű</w:t>
      </w:r>
      <w:r w:rsidR="00F35747" w:rsidRPr="004B703C">
        <w:rPr>
          <w:rFonts w:ascii="Times New Roman" w:hAnsi="Times New Roman" w:cs="Times New Roman"/>
          <w:b/>
          <w:bCs/>
          <w:sz w:val="24"/>
          <w:szCs w:val="24"/>
        </w:rPr>
        <w:t xml:space="preserve">vét </w:t>
      </w:r>
      <w:r w:rsidR="00F35747" w:rsidRPr="004B703C">
        <w:rPr>
          <w:rFonts w:ascii="Times New Roman" w:hAnsi="Times New Roman" w:cs="Times New Roman"/>
          <w:b/>
          <w:sz w:val="24"/>
          <w:szCs w:val="24"/>
        </w:rPr>
        <w:t>használja a</w:t>
      </w:r>
      <w:r w:rsidR="00A62F34" w:rsidRPr="004B7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47" w:rsidRPr="004B703C">
        <w:rPr>
          <w:rFonts w:ascii="Times New Roman" w:hAnsi="Times New Roman" w:cs="Times New Roman"/>
          <w:b/>
          <w:sz w:val="24"/>
          <w:szCs w:val="24"/>
        </w:rPr>
        <w:t>kifizető érdekében, akkor költségei megtéríthetők útnyilvántartás vagy</w:t>
      </w:r>
      <w:r w:rsidR="00A62F34" w:rsidRPr="004B7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47" w:rsidRPr="004B703C">
        <w:rPr>
          <w:rFonts w:ascii="Times New Roman" w:hAnsi="Times New Roman" w:cs="Times New Roman"/>
          <w:b/>
          <w:sz w:val="24"/>
          <w:szCs w:val="24"/>
        </w:rPr>
        <w:t>kiküldetési rendelvény alapján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. Lényeges különbség azonban, hogy a </w:t>
      </w:r>
      <w:r w:rsidR="00BC25B2">
        <w:rPr>
          <w:rFonts w:ascii="Times New Roman" w:hAnsi="Times New Roman" w:cs="Times New Roman"/>
          <w:sz w:val="24"/>
          <w:szCs w:val="24"/>
        </w:rPr>
        <w:t>15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 forint</w:t>
      </w:r>
      <w:r w:rsidR="00A62F34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723B14" w:rsidRPr="00FF0FA7">
        <w:rPr>
          <w:rFonts w:ascii="Times New Roman" w:hAnsi="Times New Roman" w:cs="Times New Roman"/>
          <w:sz w:val="24"/>
          <w:szCs w:val="24"/>
        </w:rPr>
        <w:t xml:space="preserve">általános </w:t>
      </w:r>
      <w:r w:rsidR="00F35747" w:rsidRPr="00FF0FA7">
        <w:rPr>
          <w:rFonts w:ascii="Times New Roman" w:hAnsi="Times New Roman" w:cs="Times New Roman"/>
          <w:sz w:val="24"/>
          <w:szCs w:val="24"/>
        </w:rPr>
        <w:t xml:space="preserve">személygépkocsi-normaköltség, illetve a kiküldetési rendelvény alapján 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>igazolás</w:t>
      </w:r>
      <w:r w:rsidR="00A62F34" w:rsidRPr="00FF0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>nélkül elszámolható költségek szabálya tehergépjárművek esetében nem</w:t>
      </w:r>
      <w:r w:rsidR="00A62F34" w:rsidRPr="00FF0F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747" w:rsidRPr="00FF0FA7">
        <w:rPr>
          <w:rFonts w:ascii="Times New Roman" w:hAnsi="Times New Roman" w:cs="Times New Roman"/>
          <w:b/>
          <w:sz w:val="24"/>
          <w:szCs w:val="24"/>
        </w:rPr>
        <w:t>alkalmazható</w:t>
      </w:r>
      <w:r w:rsidR="00F35747" w:rsidRPr="00FF0FA7">
        <w:rPr>
          <w:rFonts w:ascii="Times New Roman" w:hAnsi="Times New Roman" w:cs="Times New Roman"/>
          <w:sz w:val="24"/>
          <w:szCs w:val="24"/>
        </w:rPr>
        <w:t>.</w:t>
      </w:r>
    </w:p>
    <w:p w:rsidR="004B703C" w:rsidRDefault="004B703C" w:rsidP="003D4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B703C" w:rsidRDefault="004B703C" w:rsidP="003D4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45A97" w:rsidRPr="004B703C" w:rsidRDefault="00045A97" w:rsidP="003D4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17C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Tájékoztató a tevékenységhez használt gépjárművek fogyasztási normáiról</w:t>
      </w:r>
    </w:p>
    <w:p w:rsidR="0044412E" w:rsidRPr="00FF0FA7" w:rsidRDefault="0044412E" w:rsidP="003D46A9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412E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közúti gépjárművek, az egyes mezőgazdasági, erdészeti és halászati erőgépek üzemanyag- és kenőanyag fogyasztásának igazolás nélkül elszámolható mértékét a 60/1992. (IV.1.) Korm. rendelet</w:t>
      </w:r>
      <w:r w:rsidR="0044412E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tartalmazza.</w:t>
      </w:r>
    </w:p>
    <w:p w:rsidR="0044412E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költségként elszámolható üzemanyag mennyisége magánszemélyek esetében nem haladhatja meg az említett kormányrendeletben meghatározott fogyasztási normákat.</w:t>
      </w:r>
    </w:p>
    <w:p w:rsidR="0044412E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A 60/1992. (IV.1.) Korm. rendelet 1</w:t>
      </w:r>
      <w:proofErr w:type="gramStart"/>
      <w:r w:rsidR="00BC25B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illetőleg 1/A. számú mellékletei tartalmazzák az egyes járművekre (erőgépekre) vonatkozó alapnormát, mely a különleges üzemmód miatt kor</w:t>
      </w:r>
      <w:r w:rsidR="0044412E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rekciós tételekkel módosítható.</w:t>
      </w:r>
    </w:p>
    <w:p w:rsidR="00045A97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A kormányrendelet 1. valamint 1/A. számú mellékletében nem szereplő típusú, valamint meg nem határozható alapnormájú, illetőleg a rendeletben meghatározottaktól eltérő fajtájú üzemanyaggal üzemelő gépjárművek esetében az alapnorma értékét a gyártó adatai vagy az üzemanyag-fogyasztás mérése alapján műszaki szakértő állapíthatja meg.</w:t>
      </w:r>
    </w:p>
    <w:p w:rsidR="0044412E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alapnorma helyett </w:t>
      </w:r>
      <w:r w:rsidR="0044412E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egyszerűsített elszámolásként </w:t>
      </w:r>
      <w:r w:rsidR="0044412E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alapnorma-átalány is használható.</w:t>
      </w:r>
      <w:r w:rsidR="0044412E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45A97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Ez a következő:</w:t>
      </w:r>
    </w:p>
    <w:p w:rsidR="0044412E" w:rsidRPr="00FF0FA7" w:rsidRDefault="0044412E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4412E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A390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benzinüzemű</w:t>
      </w:r>
      <w:r w:rsidRPr="007A39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gépkocsi alapnorma-átalány mértéke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beépített motor hengerűrtartalma szerint:</w:t>
      </w:r>
    </w:p>
    <w:tbl>
      <w:tblPr>
        <w:tblW w:w="557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2493"/>
      </w:tblGrid>
      <w:tr w:rsidR="00045A97" w:rsidRPr="00FF0FA7" w:rsidTr="00D94017">
        <w:trPr>
          <w:tblCellSpacing w:w="0" w:type="dxa"/>
          <w:jc w:val="center"/>
        </w:trPr>
        <w:tc>
          <w:tcPr>
            <w:tcW w:w="3086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 cm3-ig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7,6 liter/100 kilométer</w:t>
            </w:r>
          </w:p>
        </w:tc>
      </w:tr>
      <w:tr w:rsidR="00045A97" w:rsidRPr="00FF0FA7" w:rsidTr="00D94017">
        <w:trPr>
          <w:tblCellSpacing w:w="0" w:type="dxa"/>
          <w:jc w:val="center"/>
        </w:trPr>
        <w:tc>
          <w:tcPr>
            <w:tcW w:w="3086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1001-1500 cm3-ig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8,6 liter/100 kilométer</w:t>
            </w:r>
          </w:p>
        </w:tc>
      </w:tr>
      <w:tr w:rsidR="00045A97" w:rsidRPr="00FF0FA7" w:rsidTr="00D94017">
        <w:trPr>
          <w:tblCellSpacing w:w="0" w:type="dxa"/>
          <w:jc w:val="center"/>
        </w:trPr>
        <w:tc>
          <w:tcPr>
            <w:tcW w:w="3086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1501-2000 cm3-ig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9,5 liter/100 kilométer</w:t>
            </w:r>
          </w:p>
        </w:tc>
      </w:tr>
      <w:tr w:rsidR="00045A97" w:rsidRPr="00FF0FA7" w:rsidTr="00D94017">
        <w:trPr>
          <w:tblCellSpacing w:w="0" w:type="dxa"/>
          <w:jc w:val="center"/>
        </w:trPr>
        <w:tc>
          <w:tcPr>
            <w:tcW w:w="3086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2001-3000 cm3-ig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11,4 liter/100 kilométer</w:t>
            </w:r>
          </w:p>
        </w:tc>
      </w:tr>
      <w:tr w:rsidR="00045A97" w:rsidRPr="00FF0FA7" w:rsidTr="00D94017">
        <w:trPr>
          <w:tblCellSpacing w:w="0" w:type="dxa"/>
          <w:jc w:val="center"/>
        </w:trPr>
        <w:tc>
          <w:tcPr>
            <w:tcW w:w="3086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3001 cm3 felett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45A97" w:rsidRPr="00FF0FA7" w:rsidRDefault="00045A9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13,3 liter/100 kilométer</w:t>
            </w:r>
          </w:p>
        </w:tc>
      </w:tr>
    </w:tbl>
    <w:p w:rsidR="009042EF" w:rsidRPr="00FF0FA7" w:rsidRDefault="009042EF" w:rsidP="00AC4BAB">
      <w:pPr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4017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A390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gázolajüzemű</w:t>
      </w:r>
      <w:r w:rsidRPr="007A39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gépkocsi alapnorma-átalány mértéke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beépített motor hengerűrtartalma szerint:</w:t>
      </w:r>
    </w:p>
    <w:tbl>
      <w:tblPr>
        <w:tblW w:w="557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2493"/>
      </w:tblGrid>
      <w:tr w:rsidR="00D94017" w:rsidRPr="00FF0FA7" w:rsidTr="00D94017">
        <w:trPr>
          <w:tblCellSpacing w:w="0" w:type="dxa"/>
          <w:jc w:val="center"/>
        </w:trPr>
        <w:tc>
          <w:tcPr>
            <w:tcW w:w="3086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1500 cm3-ig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5,7 liter/100 kilométer</w:t>
            </w:r>
          </w:p>
        </w:tc>
      </w:tr>
      <w:tr w:rsidR="00D94017" w:rsidRPr="00FF0FA7" w:rsidTr="00D94017">
        <w:trPr>
          <w:tblCellSpacing w:w="0" w:type="dxa"/>
          <w:jc w:val="center"/>
        </w:trPr>
        <w:tc>
          <w:tcPr>
            <w:tcW w:w="3086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1501-2000 cm3-ig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6,7 liter/100 kilométer</w:t>
            </w:r>
          </w:p>
        </w:tc>
      </w:tr>
      <w:tr w:rsidR="00D94017" w:rsidRPr="00FF0FA7" w:rsidTr="00D94017">
        <w:trPr>
          <w:tblCellSpacing w:w="0" w:type="dxa"/>
          <w:jc w:val="center"/>
        </w:trPr>
        <w:tc>
          <w:tcPr>
            <w:tcW w:w="3086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2001-3000 cm3-ig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7,6 liter/100 kilométer</w:t>
            </w:r>
          </w:p>
        </w:tc>
      </w:tr>
      <w:tr w:rsidR="00D94017" w:rsidRPr="00FF0FA7" w:rsidTr="00D94017">
        <w:trPr>
          <w:tblCellSpacing w:w="0" w:type="dxa"/>
          <w:jc w:val="center"/>
        </w:trPr>
        <w:tc>
          <w:tcPr>
            <w:tcW w:w="3086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3001 cm3 felett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9,5 liter/100 kilométer</w:t>
            </w:r>
          </w:p>
        </w:tc>
      </w:tr>
    </w:tbl>
    <w:p w:rsidR="00D94017" w:rsidRPr="00FF0FA7" w:rsidRDefault="00D9401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42EF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FF0FA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autógázzal üzemelő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tiszta gázüzemű, valamint kettős üzemű gépkocsi alapnorma-átalány mértékét </w:t>
      </w:r>
      <w:r w:rsidR="009E034E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benzinüzemű gépkocsi alapnorma-átalány</w:t>
      </w:r>
      <w:r w:rsidR="00C37D00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liter/100 kilométerben 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alapnorma</w:t>
      </w:r>
      <w:r w:rsidR="00C37D00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érték </w:t>
      </w:r>
      <w:r w:rsidR="009E034E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továbbá</w:t>
      </w:r>
    </w:p>
    <w:p w:rsidR="00045A97" w:rsidRPr="00FF0FA7" w:rsidRDefault="00045A97" w:rsidP="00AC4BA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cseppfolyós propán-bután gázüzem (LPG) esetén 1,2 (liter/lit</w:t>
      </w:r>
      <w:r w:rsidR="009042EF"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>er) értékű,</w:t>
      </w:r>
    </w:p>
    <w:p w:rsidR="00D60AAA" w:rsidRDefault="009042EF" w:rsidP="00E940DD">
      <w:pPr>
        <w:numPr>
          <w:ilvl w:val="0"/>
          <w:numId w:val="1"/>
        </w:numPr>
        <w:spacing w:after="0" w:line="240" w:lineRule="auto"/>
        <w:ind w:left="284" w:right="10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0AA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</w:t>
      </w:r>
      <w:r w:rsidR="00045A97" w:rsidRPr="00D60AAA">
        <w:rPr>
          <w:rFonts w:ascii="Times New Roman" w:eastAsia="Times New Roman" w:hAnsi="Times New Roman" w:cs="Times New Roman"/>
          <w:sz w:val="24"/>
          <w:szCs w:val="24"/>
          <w:lang w:eastAsia="hu-HU"/>
        </w:rPr>
        <w:t>földgáz (CNG, LNG) üze</w:t>
      </w:r>
      <w:r w:rsidR="00D60AAA" w:rsidRPr="00D60AAA">
        <w:rPr>
          <w:rFonts w:ascii="Times New Roman" w:eastAsia="Times New Roman" w:hAnsi="Times New Roman" w:cs="Times New Roman"/>
          <w:sz w:val="24"/>
          <w:szCs w:val="24"/>
          <w:lang w:eastAsia="hu-HU"/>
        </w:rPr>
        <w:t>m esetén 0,8 (Nm3/liter) értékű</w:t>
      </w:r>
    </w:p>
    <w:p w:rsidR="00045A97" w:rsidRPr="00D60AAA" w:rsidRDefault="00045A97" w:rsidP="00D60AAA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60AAA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módosító</w:t>
      </w:r>
      <w:proofErr w:type="gramEnd"/>
      <w:r w:rsidR="00C37D00" w:rsidRPr="00D60A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0AAA">
        <w:rPr>
          <w:rFonts w:ascii="Times New Roman" w:eastAsia="Times New Roman" w:hAnsi="Times New Roman" w:cs="Times New Roman"/>
          <w:sz w:val="24"/>
          <w:szCs w:val="24"/>
          <w:lang w:eastAsia="hu-HU"/>
        </w:rPr>
        <w:t>tényező szorzataként kell megállapítani.</w:t>
      </w:r>
    </w:p>
    <w:p w:rsidR="009E034E" w:rsidRPr="00FF0FA7" w:rsidRDefault="00D60AAA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45A97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A390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segédmotoros kerékpár</w:t>
      </w:r>
      <w:r w:rsidRPr="007A390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és a </w:t>
      </w:r>
      <w:r w:rsidRPr="007A390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motorkerékpár</w:t>
      </w:r>
      <w:r w:rsidRPr="007A39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alapnorma-átalány mértéke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beépített motor hengerűrtartalma szerint:</w:t>
      </w:r>
    </w:p>
    <w:p w:rsidR="009E034E" w:rsidRPr="00FF0FA7" w:rsidRDefault="009E034E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6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2493"/>
      </w:tblGrid>
      <w:tr w:rsidR="00D94017" w:rsidRPr="00FF0FA7" w:rsidTr="00D94017">
        <w:trPr>
          <w:tblCellSpacing w:w="0" w:type="dxa"/>
          <w:jc w:val="center"/>
        </w:trPr>
        <w:tc>
          <w:tcPr>
            <w:tcW w:w="3122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segédmotoros kerékpár: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3,0 liter/100 km </w:t>
            </w:r>
          </w:p>
        </w:tc>
      </w:tr>
      <w:tr w:rsidR="00D94017" w:rsidRPr="00FF0FA7" w:rsidTr="00D94017">
        <w:trPr>
          <w:tblCellSpacing w:w="0" w:type="dxa"/>
          <w:jc w:val="center"/>
        </w:trPr>
        <w:tc>
          <w:tcPr>
            <w:tcW w:w="3122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motorkerékpár: 80 cm3-ig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3,5 liter/100 km </w:t>
            </w:r>
          </w:p>
        </w:tc>
      </w:tr>
      <w:tr w:rsidR="00D94017" w:rsidRPr="00FF0FA7" w:rsidTr="00D94017">
        <w:trPr>
          <w:tblCellSpacing w:w="0" w:type="dxa"/>
          <w:jc w:val="center"/>
        </w:trPr>
        <w:tc>
          <w:tcPr>
            <w:tcW w:w="3122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motorkerékpár: 81-125 cm3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3,8 liter/100 km </w:t>
            </w:r>
          </w:p>
        </w:tc>
      </w:tr>
      <w:tr w:rsidR="00D94017" w:rsidRPr="00FF0FA7" w:rsidTr="00D94017">
        <w:trPr>
          <w:tblCellSpacing w:w="0" w:type="dxa"/>
          <w:jc w:val="center"/>
        </w:trPr>
        <w:tc>
          <w:tcPr>
            <w:tcW w:w="3122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motorkerékpár: 126-250 cm3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4 liter/100 km </w:t>
            </w:r>
          </w:p>
        </w:tc>
      </w:tr>
      <w:tr w:rsidR="00D94017" w:rsidRPr="00FF0FA7" w:rsidTr="00D94017">
        <w:trPr>
          <w:tblCellSpacing w:w="0" w:type="dxa"/>
          <w:jc w:val="center"/>
        </w:trPr>
        <w:tc>
          <w:tcPr>
            <w:tcW w:w="3122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motorkerékpár: 251-500 cm3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4,5 liter/100 km </w:t>
            </w:r>
          </w:p>
        </w:tc>
      </w:tr>
      <w:tr w:rsidR="00D94017" w:rsidRPr="00FF0FA7" w:rsidTr="00D94017">
        <w:trPr>
          <w:tblCellSpacing w:w="0" w:type="dxa"/>
          <w:jc w:val="center"/>
        </w:trPr>
        <w:tc>
          <w:tcPr>
            <w:tcW w:w="3122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94017" w:rsidRPr="00FF0FA7" w:rsidRDefault="00D94017" w:rsidP="00AC4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motorkerékpár: 500 cm3 felett</w:t>
            </w:r>
          </w:p>
        </w:tc>
        <w:tc>
          <w:tcPr>
            <w:tcW w:w="2493" w:type="dxa"/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D94017" w:rsidRPr="00FF0FA7" w:rsidRDefault="00D94017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F0FA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5 liter/100 km</w:t>
            </w:r>
          </w:p>
        </w:tc>
      </w:tr>
    </w:tbl>
    <w:p w:rsidR="00D94017" w:rsidRPr="00FF0FA7" w:rsidRDefault="00D9401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45A97" w:rsidRPr="00FF0FA7" w:rsidRDefault="00045A97" w:rsidP="00AC4BAB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F0FA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gépjárművezetés gyakorlati oktatása során az oktató gépjárműre</w:t>
      </w:r>
      <w:r w:rsidRPr="00FF0F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vonatkozóan alapnorma-átalányként az előzőekben meghatározott alapnorma-átalány 1,8-szeres értéke (180%-a) vehető figyelembe.</w:t>
      </w:r>
    </w:p>
    <w:p w:rsidR="00754862" w:rsidRPr="00FF0FA7" w:rsidRDefault="00754862" w:rsidP="00AC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5C6" w:rsidRPr="00FF0FA7" w:rsidRDefault="007E15C6" w:rsidP="00AC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54862" w:rsidRPr="00FF0FA7" w:rsidTr="00E34E29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54862" w:rsidRPr="00FF0FA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54862" w:rsidRPr="00FF0FA7" w:rsidRDefault="00754862" w:rsidP="00AC4B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E17C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hu-HU"/>
                    </w:rPr>
                    <w:t>Közlemény az üzemanyagárakról</w:t>
                  </w:r>
                </w:p>
                <w:p w:rsidR="007E15C6" w:rsidRPr="00FF0FA7" w:rsidRDefault="007E15C6" w:rsidP="00AC4B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  <w:p w:rsidR="00754862" w:rsidRPr="00FF0FA7" w:rsidRDefault="00754862" w:rsidP="00AC4BAB">
                  <w:pPr>
                    <w:spacing w:after="0" w:line="240" w:lineRule="auto"/>
                    <w:ind w:right="10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FF0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A személyi jövedelemadóról szóló - többször módosított - 1995. évi CXVII. törvény 82. § (2) bekezdése arra kötelezi a </w:t>
                  </w:r>
                  <w:r w:rsidRPr="007708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Nemzeti Adó- és Vámhivatal</w:t>
                  </w:r>
                  <w:r w:rsidRPr="00FF0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t, hogy </w:t>
                  </w:r>
                  <w:r w:rsidRPr="007708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havonta tegye közzé a</w:t>
                  </w:r>
                  <w:r w:rsidRPr="00FF0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  <w:r w:rsidRPr="0077088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tárgyhónapban a fogyasztási norma szerinti üzemanyagköltség-elszámolással kapcsolatosan alkalmazható üzemanyagárat</w:t>
                  </w:r>
                  <w:r w:rsidRPr="00FF0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</w:t>
                  </w:r>
                </w:p>
                <w:p w:rsidR="00F43EB1" w:rsidRPr="00FF0FA7" w:rsidRDefault="00754862" w:rsidP="00AC4BAB">
                  <w:pPr>
                    <w:spacing w:after="0" w:line="240" w:lineRule="auto"/>
                    <w:ind w:right="10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7A390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Ha a személyi jövedelemadó törvény hatálya alá tartozó magánszemély az üzemanyagköltséget a közleményben szereplő árak szerint számolja el, nem szükséges az üzemanyagról számlát beszerezni</w:t>
                  </w:r>
                  <w:r w:rsidRPr="00FF0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</w:t>
                  </w:r>
                </w:p>
                <w:p w:rsidR="00754862" w:rsidRPr="00FF0FA7" w:rsidRDefault="00754862" w:rsidP="00AC4BAB">
                  <w:pPr>
                    <w:spacing w:after="0" w:line="240" w:lineRule="auto"/>
                    <w:ind w:right="10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FF0F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 </w:t>
                  </w:r>
                  <w:r w:rsidRPr="00FF0F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</w:t>
                  </w:r>
                </w:p>
                <w:tbl>
                  <w:tblPr>
                    <w:tblW w:w="5717" w:type="dxa"/>
                    <w:jc w:val="center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3"/>
                    <w:gridCol w:w="1477"/>
                    <w:gridCol w:w="970"/>
                    <w:gridCol w:w="1037"/>
                    <w:gridCol w:w="970"/>
                  </w:tblGrid>
                  <w:tr w:rsidR="00754862" w:rsidRPr="00FF0FA7" w:rsidTr="00773F09">
                    <w:trPr>
                      <w:tblCellSpacing w:w="0" w:type="dxa"/>
                      <w:jc w:val="center"/>
                    </w:trPr>
                    <w:tc>
                      <w:tcPr>
                        <w:tcW w:w="1263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754862" w:rsidRPr="00FF0FA7" w:rsidRDefault="00754862" w:rsidP="00475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t>201</w:t>
                        </w:r>
                        <w:r w:rsidR="0047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t>7</w:t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t>. év</w:t>
                        </w:r>
                      </w:p>
                    </w:tc>
                    <w:tc>
                      <w:tcPr>
                        <w:tcW w:w="1477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754862" w:rsidRPr="00FF0FA7" w:rsidRDefault="00754862" w:rsidP="00AC4BA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Ólmozatlan</w:t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br/>
                          <w:t xml:space="preserve">motorbenzin </w:t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br/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t>ESZ-95 (Ft/l)</w:t>
                        </w:r>
                      </w:p>
                    </w:tc>
                    <w:tc>
                      <w:tcPr>
                        <w:tcW w:w="970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754862" w:rsidRPr="00FF0FA7" w:rsidRDefault="00754862" w:rsidP="00AC4BA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Gázolaj</w:t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t xml:space="preserve"> </w:t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br/>
                          <w:t>(Ft/l)</w:t>
                        </w:r>
                      </w:p>
                    </w:tc>
                    <w:tc>
                      <w:tcPr>
                        <w:tcW w:w="1037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754862" w:rsidRPr="00FF0FA7" w:rsidRDefault="00754862" w:rsidP="00AC4BA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Keverék</w:t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t xml:space="preserve"> </w:t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br/>
                          <w:t>(Ft/l)</w:t>
                        </w:r>
                      </w:p>
                    </w:tc>
                    <w:tc>
                      <w:tcPr>
                        <w:tcW w:w="970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754862" w:rsidRPr="00FF0FA7" w:rsidRDefault="00754862" w:rsidP="00AC4BA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 xml:space="preserve">LPG autógáz </w:t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br/>
                        </w:r>
                        <w:r w:rsidRPr="00FF0F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t>(Ft/l)</w:t>
                        </w:r>
                      </w:p>
                    </w:tc>
                  </w:tr>
                  <w:tr w:rsidR="0047583F" w:rsidRPr="00FF0FA7" w:rsidTr="0047583F">
                    <w:trPr>
                      <w:tblCellSpacing w:w="0" w:type="dxa"/>
                      <w:jc w:val="center"/>
                    </w:trPr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47583F" w:rsidRPr="0047583F" w:rsidRDefault="0047583F" w:rsidP="009537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</w:pPr>
                        <w:r w:rsidRPr="0047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hu-HU"/>
                          </w:rPr>
                          <w:t>január</w:t>
                        </w:r>
                      </w:p>
                    </w:tc>
                    <w:tc>
                      <w:tcPr>
                        <w:tcW w:w="14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47583F" w:rsidRPr="0047583F" w:rsidRDefault="0047583F" w:rsidP="00475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</w:pPr>
                        <w:r w:rsidRPr="0047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48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47583F" w:rsidRPr="0047583F" w:rsidRDefault="0047583F" w:rsidP="00475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</w:pPr>
                        <w:r w:rsidRPr="0047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6</w:t>
                        </w:r>
                        <w:r w:rsidRPr="0047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6</w:t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47583F" w:rsidRPr="0047583F" w:rsidRDefault="0047583F" w:rsidP="0095378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384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47583F" w:rsidRPr="0047583F" w:rsidRDefault="0047583F" w:rsidP="00475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</w:pPr>
                        <w:r w:rsidRPr="0047583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24"/>
                            <w:szCs w:val="24"/>
                            <w:lang w:eastAsia="hu-HU"/>
                          </w:rPr>
                          <w:t>01</w:t>
                        </w:r>
                      </w:p>
                    </w:tc>
                  </w:tr>
                  <w:tr w:rsidR="00754862" w:rsidRPr="00FF0FA7" w:rsidTr="00773F09">
                    <w:trPr>
                      <w:tblCellSpacing w:w="0" w:type="dxa"/>
                      <w:jc w:val="center"/>
                    </w:trPr>
                    <w:tc>
                      <w:tcPr>
                        <w:tcW w:w="1263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:rsidR="00754862" w:rsidRPr="00FF0FA7" w:rsidRDefault="00754862" w:rsidP="00AC4BA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FF0FA7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hu-HU"/>
                          </w:rPr>
                          <w:t>február</w:t>
                        </w:r>
                      </w:p>
                    </w:tc>
                    <w:tc>
                      <w:tcPr>
                        <w:tcW w:w="1477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:rsidR="00754862" w:rsidRPr="00FF0FA7" w:rsidRDefault="00754862" w:rsidP="00475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FF0FA7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hu-HU"/>
                          </w:rPr>
                          <w:t>3</w:t>
                        </w:r>
                        <w:r w:rsidR="0047583F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hu-HU"/>
                          </w:rPr>
                          <w:t>70</w:t>
                        </w:r>
                      </w:p>
                    </w:tc>
                    <w:tc>
                      <w:tcPr>
                        <w:tcW w:w="970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:rsidR="00754862" w:rsidRPr="00FF0FA7" w:rsidRDefault="00754862" w:rsidP="00475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FF0FA7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hu-HU"/>
                          </w:rPr>
                          <w:t>3</w:t>
                        </w:r>
                        <w:r w:rsidR="0047583F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hu-HU"/>
                          </w:rPr>
                          <w:t>82</w:t>
                        </w:r>
                      </w:p>
                    </w:tc>
                    <w:tc>
                      <w:tcPr>
                        <w:tcW w:w="1037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:rsidR="00754862" w:rsidRPr="00FF0FA7" w:rsidRDefault="0047583F" w:rsidP="00AC4BA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hu-HU"/>
                          </w:rPr>
                          <w:t>405</w:t>
                        </w:r>
                      </w:p>
                    </w:tc>
                    <w:tc>
                      <w:tcPr>
                        <w:tcW w:w="970" w:type="dxa"/>
                        <w:shd w:val="clear" w:color="auto" w:fill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:rsidR="00754862" w:rsidRPr="00FF0FA7" w:rsidRDefault="00754862" w:rsidP="0047583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FF0FA7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hu-HU"/>
                          </w:rPr>
                          <w:t>2</w:t>
                        </w:r>
                        <w:r w:rsidR="0047583F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hu-HU"/>
                          </w:rPr>
                          <w:t>03</w:t>
                        </w:r>
                      </w:p>
                    </w:tc>
                  </w:tr>
                </w:tbl>
                <w:p w:rsidR="00754862" w:rsidRPr="00FF0FA7" w:rsidRDefault="00754862" w:rsidP="00AC4B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754862" w:rsidRPr="00FF0F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4862" w:rsidRPr="00FF0FA7" w:rsidRDefault="00754862" w:rsidP="00AC4B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754862" w:rsidRPr="00FF0FA7" w:rsidRDefault="00754862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54862" w:rsidRPr="00FF0FA7">
        <w:trPr>
          <w:tblCellSpacing w:w="0" w:type="dxa"/>
        </w:trPr>
        <w:tc>
          <w:tcPr>
            <w:tcW w:w="0" w:type="auto"/>
            <w:vAlign w:val="center"/>
            <w:hideMark/>
          </w:tcPr>
          <w:p w:rsidR="00754862" w:rsidRPr="00FF0FA7" w:rsidRDefault="00754862" w:rsidP="00AC4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754862" w:rsidRPr="00FF0FA7" w:rsidRDefault="00754862" w:rsidP="00AC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BF0" w:rsidRPr="00FF0FA7" w:rsidRDefault="00323BF0" w:rsidP="00AC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BF0" w:rsidRPr="0007031E" w:rsidRDefault="00323BF0" w:rsidP="00AC4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31E">
        <w:rPr>
          <w:rFonts w:ascii="Times New Roman" w:hAnsi="Times New Roman" w:cs="Times New Roman"/>
          <w:b/>
          <w:sz w:val="24"/>
          <w:szCs w:val="24"/>
          <w:u w:val="single"/>
        </w:rPr>
        <w:t xml:space="preserve">Gépjármű </w:t>
      </w:r>
      <w:r w:rsidR="00173C71" w:rsidRPr="0007031E">
        <w:rPr>
          <w:rFonts w:ascii="Times New Roman" w:hAnsi="Times New Roman" w:cs="Times New Roman"/>
          <w:b/>
          <w:bCs/>
          <w:sz w:val="24"/>
          <w:szCs w:val="24"/>
          <w:u w:val="single"/>
        </w:rPr>
        <w:t>üzemeltetési költség</w:t>
      </w:r>
      <w:r w:rsidRPr="00070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elszámolása </w:t>
      </w:r>
      <w:r w:rsidR="0007031E">
        <w:rPr>
          <w:rFonts w:ascii="Times New Roman" w:hAnsi="Times New Roman" w:cs="Times New Roman"/>
          <w:b/>
          <w:sz w:val="24"/>
          <w:szCs w:val="24"/>
          <w:u w:val="single"/>
        </w:rPr>
        <w:t>példa</w:t>
      </w:r>
    </w:p>
    <w:p w:rsidR="006F73F2" w:rsidRPr="00FF0FA7" w:rsidRDefault="006F73F2" w:rsidP="00AC4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C40" w:rsidRPr="00FF0FA7" w:rsidRDefault="00555C40" w:rsidP="00AC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>Utazás időpontja: 201</w:t>
      </w:r>
      <w:r w:rsidR="00D41694">
        <w:rPr>
          <w:rFonts w:ascii="Times New Roman" w:hAnsi="Times New Roman" w:cs="Times New Roman"/>
          <w:sz w:val="24"/>
          <w:szCs w:val="24"/>
        </w:rPr>
        <w:t>7</w:t>
      </w:r>
      <w:r w:rsidRPr="00FF0FA7">
        <w:rPr>
          <w:rFonts w:ascii="Times New Roman" w:hAnsi="Times New Roman" w:cs="Times New Roman"/>
          <w:sz w:val="24"/>
          <w:szCs w:val="24"/>
        </w:rPr>
        <w:t>.0</w:t>
      </w:r>
      <w:r w:rsidR="00D41694">
        <w:rPr>
          <w:rFonts w:ascii="Times New Roman" w:hAnsi="Times New Roman" w:cs="Times New Roman"/>
          <w:sz w:val="24"/>
          <w:szCs w:val="24"/>
        </w:rPr>
        <w:t>1</w:t>
      </w:r>
      <w:r w:rsidRPr="00FF0FA7">
        <w:rPr>
          <w:rFonts w:ascii="Times New Roman" w:hAnsi="Times New Roman" w:cs="Times New Roman"/>
          <w:sz w:val="24"/>
          <w:szCs w:val="24"/>
        </w:rPr>
        <w:t>.</w:t>
      </w:r>
      <w:r w:rsidR="003337FB">
        <w:rPr>
          <w:rFonts w:ascii="Times New Roman" w:hAnsi="Times New Roman" w:cs="Times New Roman"/>
          <w:sz w:val="24"/>
          <w:szCs w:val="24"/>
        </w:rPr>
        <w:t>30</w:t>
      </w:r>
      <w:r w:rsidRPr="00FF0FA7">
        <w:rPr>
          <w:rFonts w:ascii="Times New Roman" w:hAnsi="Times New Roman" w:cs="Times New Roman"/>
          <w:sz w:val="24"/>
          <w:szCs w:val="24"/>
        </w:rPr>
        <w:t>.</w:t>
      </w:r>
    </w:p>
    <w:p w:rsidR="00555C40" w:rsidRPr="00FF0FA7" w:rsidRDefault="00555C40" w:rsidP="00AC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 xml:space="preserve">Megtett út: 300 km (Vác - </w:t>
      </w:r>
      <w:proofErr w:type="spellStart"/>
      <w:r w:rsidRPr="00FF0FA7">
        <w:rPr>
          <w:rFonts w:ascii="Times New Roman" w:hAnsi="Times New Roman" w:cs="Times New Roman"/>
          <w:sz w:val="24"/>
          <w:szCs w:val="24"/>
        </w:rPr>
        <w:t>Peremarton</w:t>
      </w:r>
      <w:proofErr w:type="spellEnd"/>
      <w:r w:rsidRPr="00FF0FA7">
        <w:rPr>
          <w:rFonts w:ascii="Times New Roman" w:hAnsi="Times New Roman" w:cs="Times New Roman"/>
          <w:sz w:val="24"/>
          <w:szCs w:val="24"/>
        </w:rPr>
        <w:t xml:space="preserve"> - Vác)</w:t>
      </w:r>
    </w:p>
    <w:p w:rsidR="00947BF6" w:rsidRPr="00FF0FA7" w:rsidRDefault="00947BF6" w:rsidP="00AC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 xml:space="preserve">Gépjármű márkája és típusa: Opel </w:t>
      </w:r>
      <w:proofErr w:type="spellStart"/>
      <w:r w:rsidRPr="00FF0FA7">
        <w:rPr>
          <w:rFonts w:ascii="Times New Roman" w:hAnsi="Times New Roman" w:cs="Times New Roman"/>
          <w:sz w:val="24"/>
          <w:szCs w:val="24"/>
        </w:rPr>
        <w:t>Vectra</w:t>
      </w:r>
      <w:proofErr w:type="spellEnd"/>
      <w:r w:rsidRPr="00FF0FA7">
        <w:rPr>
          <w:rFonts w:ascii="Times New Roman" w:hAnsi="Times New Roman" w:cs="Times New Roman"/>
          <w:sz w:val="24"/>
          <w:szCs w:val="24"/>
        </w:rPr>
        <w:br/>
        <w:t>Motor típusa: benzin</w:t>
      </w:r>
    </w:p>
    <w:p w:rsidR="00947BF6" w:rsidRPr="00FF0FA7" w:rsidRDefault="00947BF6" w:rsidP="00AC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>Motor cm</w:t>
      </w:r>
      <w:r w:rsidRPr="00FF0FA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F0FA7">
        <w:rPr>
          <w:rFonts w:ascii="Times New Roman" w:hAnsi="Times New Roman" w:cs="Times New Roman"/>
          <w:sz w:val="24"/>
          <w:szCs w:val="24"/>
        </w:rPr>
        <w:t>: 2792</w:t>
      </w:r>
    </w:p>
    <w:p w:rsidR="006F73F2" w:rsidRPr="00FF0FA7" w:rsidRDefault="006F73F2" w:rsidP="00AC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73F2" w:rsidRDefault="006F73F2" w:rsidP="00AC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A7">
        <w:rPr>
          <w:rFonts w:ascii="Times New Roman" w:hAnsi="Times New Roman" w:cs="Times New Roman"/>
          <w:sz w:val="24"/>
          <w:szCs w:val="24"/>
        </w:rPr>
        <w:t xml:space="preserve">11,4 liter/100 km x 300 km x </w:t>
      </w:r>
      <w:r w:rsidR="00555C40" w:rsidRPr="00FF0FA7">
        <w:rPr>
          <w:rFonts w:ascii="Times New Roman" w:hAnsi="Times New Roman" w:cs="Times New Roman"/>
          <w:sz w:val="24"/>
          <w:szCs w:val="24"/>
        </w:rPr>
        <w:t>3</w:t>
      </w:r>
      <w:r w:rsidR="00660E1A">
        <w:rPr>
          <w:rFonts w:ascii="Times New Roman" w:hAnsi="Times New Roman" w:cs="Times New Roman"/>
          <w:sz w:val="24"/>
          <w:szCs w:val="24"/>
        </w:rPr>
        <w:t>48</w:t>
      </w:r>
      <w:r w:rsidR="00DF5883" w:rsidRPr="00FF0FA7">
        <w:rPr>
          <w:rFonts w:ascii="Times New Roman" w:hAnsi="Times New Roman" w:cs="Times New Roman"/>
          <w:sz w:val="24"/>
          <w:szCs w:val="24"/>
        </w:rPr>
        <w:t xml:space="preserve"> Ft/liter = 11.</w:t>
      </w:r>
      <w:r w:rsidR="00660E1A">
        <w:rPr>
          <w:rFonts w:ascii="Times New Roman" w:hAnsi="Times New Roman" w:cs="Times New Roman"/>
          <w:sz w:val="24"/>
          <w:szCs w:val="24"/>
        </w:rPr>
        <w:t>902</w:t>
      </w:r>
      <w:r w:rsidR="00DF5883" w:rsidRPr="00FF0FA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1D78FC">
        <w:rPr>
          <w:rFonts w:ascii="Times New Roman" w:hAnsi="Times New Roman" w:cs="Times New Roman"/>
          <w:sz w:val="24"/>
          <w:szCs w:val="24"/>
        </w:rPr>
        <w:t>-</w:t>
      </w:r>
      <w:r w:rsidR="00DF5883" w:rsidRPr="00FF0FA7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1D78FC">
        <w:rPr>
          <w:rFonts w:ascii="Times New Roman" w:hAnsi="Times New Roman" w:cs="Times New Roman"/>
          <w:sz w:val="24"/>
          <w:szCs w:val="24"/>
        </w:rPr>
        <w:t xml:space="preserve"> üzemanyagköltség</w:t>
      </w:r>
    </w:p>
    <w:p w:rsidR="001D78FC" w:rsidRDefault="00660E1A" w:rsidP="00AC4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D78FC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1D78FC">
        <w:rPr>
          <w:rFonts w:ascii="Times New Roman" w:hAnsi="Times New Roman" w:cs="Times New Roman"/>
          <w:sz w:val="24"/>
          <w:szCs w:val="24"/>
        </w:rPr>
        <w:t>Ft</w:t>
      </w:r>
      <w:r w:rsidR="001D78FC" w:rsidRPr="00FF0FA7">
        <w:rPr>
          <w:rFonts w:ascii="Times New Roman" w:hAnsi="Times New Roman" w:cs="Times New Roman"/>
          <w:sz w:val="24"/>
          <w:szCs w:val="24"/>
        </w:rPr>
        <w:t xml:space="preserve"> </w:t>
      </w:r>
      <w:r w:rsidR="001D78FC">
        <w:rPr>
          <w:rFonts w:ascii="Times New Roman" w:hAnsi="Times New Roman" w:cs="Times New Roman"/>
          <w:sz w:val="24"/>
          <w:szCs w:val="24"/>
        </w:rPr>
        <w:t xml:space="preserve">x 300 km =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D78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D78FC">
        <w:rPr>
          <w:rFonts w:ascii="Times New Roman" w:hAnsi="Times New Roman" w:cs="Times New Roman"/>
          <w:sz w:val="24"/>
          <w:szCs w:val="24"/>
        </w:rPr>
        <w:t>00,</w:t>
      </w:r>
      <w:proofErr w:type="spellStart"/>
      <w:r w:rsidR="001D78FC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="001D78FC">
        <w:rPr>
          <w:rFonts w:ascii="Times New Roman" w:hAnsi="Times New Roman" w:cs="Times New Roman"/>
          <w:sz w:val="24"/>
          <w:szCs w:val="24"/>
        </w:rPr>
        <w:t xml:space="preserve"> </w:t>
      </w:r>
      <w:r w:rsidR="001D78FC" w:rsidRPr="00FF0FA7">
        <w:rPr>
          <w:rFonts w:ascii="Times New Roman" w:hAnsi="Times New Roman" w:cs="Times New Roman"/>
          <w:sz w:val="24"/>
          <w:szCs w:val="24"/>
        </w:rPr>
        <w:t>általános személygépkocsi-normaköltség</w:t>
      </w:r>
    </w:p>
    <w:p w:rsidR="006F73F2" w:rsidRDefault="007F32EA" w:rsidP="00692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Összesen elszámolható költség a gépjármű használat után: </w:t>
      </w:r>
      <w:r w:rsidR="00873201">
        <w:rPr>
          <w:rFonts w:ascii="Times New Roman" w:hAnsi="Times New Roman" w:cs="Times New Roman"/>
          <w:sz w:val="24"/>
          <w:szCs w:val="24"/>
        </w:rPr>
        <w:t>1</w:t>
      </w:r>
      <w:r w:rsidR="00660E1A">
        <w:rPr>
          <w:rFonts w:ascii="Times New Roman" w:hAnsi="Times New Roman" w:cs="Times New Roman"/>
          <w:sz w:val="24"/>
          <w:szCs w:val="24"/>
        </w:rPr>
        <w:t>6</w:t>
      </w:r>
      <w:r w:rsidR="00873201">
        <w:rPr>
          <w:rFonts w:ascii="Times New Roman" w:hAnsi="Times New Roman" w:cs="Times New Roman"/>
          <w:sz w:val="24"/>
          <w:szCs w:val="24"/>
        </w:rPr>
        <w:t>.</w:t>
      </w:r>
      <w:r w:rsidR="00660E1A">
        <w:rPr>
          <w:rFonts w:ascii="Times New Roman" w:hAnsi="Times New Roman" w:cs="Times New Roman"/>
          <w:sz w:val="24"/>
          <w:szCs w:val="24"/>
        </w:rPr>
        <w:t>402</w:t>
      </w:r>
      <w:r w:rsidR="0087320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873201">
        <w:rPr>
          <w:rFonts w:ascii="Times New Roman" w:hAnsi="Times New Roman" w:cs="Times New Roman"/>
          <w:sz w:val="24"/>
          <w:szCs w:val="24"/>
        </w:rPr>
        <w:t>-Ft</w:t>
      </w:r>
      <w:proofErr w:type="spellEnd"/>
    </w:p>
    <w:p w:rsidR="00F34B3A" w:rsidRPr="008D16A5" w:rsidRDefault="00F34B3A" w:rsidP="00692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B3A" w:rsidRDefault="00F34B3A" w:rsidP="00692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970" w:rsidRPr="008D16A5" w:rsidRDefault="00536970" w:rsidP="00692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B3A" w:rsidRPr="00F34B3A" w:rsidRDefault="00F34B3A" w:rsidP="00692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Magyarországi a</w:t>
      </w:r>
      <w:r w:rsidRPr="00F34B3A">
        <w:rPr>
          <w:rFonts w:ascii="Times New Roman" w:hAnsi="Times New Roman" w:cs="Times New Roman"/>
          <w:b/>
          <w:sz w:val="24"/>
          <w:szCs w:val="24"/>
          <w:u w:val="single"/>
        </w:rPr>
        <w:t>utópálya matric</w:t>
      </w:r>
      <w:r w:rsidR="00770881">
        <w:rPr>
          <w:rFonts w:ascii="Times New Roman" w:hAnsi="Times New Roman" w:cs="Times New Roman"/>
          <w:b/>
          <w:sz w:val="24"/>
          <w:szCs w:val="24"/>
          <w:u w:val="single"/>
        </w:rPr>
        <w:t>ák</w:t>
      </w:r>
      <w:r w:rsidRPr="00F34B3A">
        <w:rPr>
          <w:rFonts w:ascii="Times New Roman" w:hAnsi="Times New Roman" w:cs="Times New Roman"/>
          <w:b/>
          <w:sz w:val="24"/>
          <w:szCs w:val="24"/>
          <w:u w:val="single"/>
        </w:rPr>
        <w:t xml:space="preserve"> díjszabása</w:t>
      </w:r>
    </w:p>
    <w:p w:rsidR="00F34B3A" w:rsidRDefault="00F34B3A" w:rsidP="00692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B3A" w:rsidRPr="001C0FA9" w:rsidRDefault="00F34B3A" w:rsidP="00F34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</w:pPr>
      <w:r w:rsidRPr="001C0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 gépkocsik és a pótkocsik a következő járműkategóriák</w:t>
      </w:r>
      <w:r w:rsidR="00A32BBF" w:rsidRPr="001C0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ba</w:t>
      </w:r>
      <w:r w:rsidRPr="001C0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 sorolhatók</w:t>
      </w:r>
      <w:r w:rsidR="00896F1F" w:rsidRPr="001C0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:</w:t>
      </w:r>
    </w:p>
    <w:p w:rsidR="00F34B3A" w:rsidRPr="00F34B3A" w:rsidRDefault="00F34B3A" w:rsidP="00F34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F34B3A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1980"/>
        <w:gridCol w:w="4874"/>
      </w:tblGrid>
      <w:tr w:rsidR="00F34B3A" w:rsidRPr="00F34B3A" w:rsidTr="00896F1F">
        <w:tc>
          <w:tcPr>
            <w:tcW w:w="14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Forgalmi engedélyben </w:t>
            </w:r>
            <w:r w:rsidRPr="00F34B3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u-HU"/>
              </w:rPr>
              <w:br/>
            </w: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szereplő kódolás </w:t>
            </w:r>
            <w:r w:rsidRPr="00F34B3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u-HU"/>
              </w:rPr>
              <w:br/>
            </w:r>
            <w:r w:rsidR="006871C7"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a „J” mezőben</w:t>
            </w:r>
          </w:p>
        </w:tc>
        <w:tc>
          <w:tcPr>
            <w:tcW w:w="1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Meghatározás</w:t>
            </w:r>
          </w:p>
        </w:tc>
        <w:tc>
          <w:tcPr>
            <w:tcW w:w="25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Díjkategória</w:t>
            </w:r>
          </w:p>
        </w:tc>
      </w:tr>
      <w:tr w:rsidR="00F34B3A" w:rsidRPr="00F34B3A" w:rsidTr="00896F1F">
        <w:tc>
          <w:tcPr>
            <w:tcW w:w="14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M1</w:t>
            </w:r>
          </w:p>
        </w:tc>
        <w:tc>
          <w:tcPr>
            <w:tcW w:w="1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személygépkocsi</w:t>
            </w:r>
          </w:p>
        </w:tc>
        <w:tc>
          <w:tcPr>
            <w:tcW w:w="25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D1</w:t>
            </w:r>
            <w:r w:rsidR="00896F1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 xml:space="preserve"> </w:t>
            </w: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(legfeljebb 7 személy szállítására alkalmas jármű esetén)</w:t>
            </w:r>
          </w:p>
        </w:tc>
      </w:tr>
      <w:tr w:rsidR="00F34B3A" w:rsidRPr="00F34B3A" w:rsidTr="00896F1F">
        <w:tc>
          <w:tcPr>
            <w:tcW w:w="14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M1</w:t>
            </w:r>
          </w:p>
        </w:tc>
        <w:tc>
          <w:tcPr>
            <w:tcW w:w="1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személygépkocsi</w:t>
            </w:r>
          </w:p>
        </w:tc>
        <w:tc>
          <w:tcPr>
            <w:tcW w:w="25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D2</w:t>
            </w: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(7 személy szállításánál többre alkalmas jármű esetén)</w:t>
            </w:r>
          </w:p>
        </w:tc>
      </w:tr>
      <w:tr w:rsidR="00F34B3A" w:rsidRPr="00F34B3A" w:rsidTr="00896F1F">
        <w:tc>
          <w:tcPr>
            <w:tcW w:w="14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N1</w:t>
            </w:r>
          </w:p>
        </w:tc>
        <w:tc>
          <w:tcPr>
            <w:tcW w:w="1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tehergépkocsi</w:t>
            </w:r>
          </w:p>
        </w:tc>
        <w:tc>
          <w:tcPr>
            <w:tcW w:w="25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D2</w:t>
            </w: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(legfeljebb 3,5 t össztömegig)</w:t>
            </w:r>
          </w:p>
        </w:tc>
      </w:tr>
      <w:tr w:rsidR="00F34B3A" w:rsidRPr="00F34B3A" w:rsidTr="00896F1F">
        <w:tc>
          <w:tcPr>
            <w:tcW w:w="14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M2</w:t>
            </w:r>
          </w:p>
        </w:tc>
        <w:tc>
          <w:tcPr>
            <w:tcW w:w="1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autóbusz</w:t>
            </w:r>
          </w:p>
        </w:tc>
        <w:tc>
          <w:tcPr>
            <w:tcW w:w="25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B2</w:t>
            </w: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(legfeljebb 5 t megengedett legnagyobb össztömegű autóbusz)</w:t>
            </w:r>
          </w:p>
        </w:tc>
      </w:tr>
      <w:tr w:rsidR="00F34B3A" w:rsidRPr="00F34B3A" w:rsidTr="00896F1F">
        <w:tc>
          <w:tcPr>
            <w:tcW w:w="14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M3</w:t>
            </w:r>
          </w:p>
        </w:tc>
        <w:tc>
          <w:tcPr>
            <w:tcW w:w="1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autóbusz</w:t>
            </w:r>
          </w:p>
        </w:tc>
        <w:tc>
          <w:tcPr>
            <w:tcW w:w="25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B2</w:t>
            </w: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(több mint 5 t megengedett legnagyobb össztömegű autóbusz)</w:t>
            </w:r>
          </w:p>
        </w:tc>
      </w:tr>
      <w:tr w:rsidR="00F34B3A" w:rsidRPr="00F34B3A" w:rsidTr="00896F1F">
        <w:tc>
          <w:tcPr>
            <w:tcW w:w="14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O1</w:t>
            </w:r>
          </w:p>
        </w:tc>
        <w:tc>
          <w:tcPr>
            <w:tcW w:w="1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utánfutó</w:t>
            </w:r>
          </w:p>
        </w:tc>
        <w:tc>
          <w:tcPr>
            <w:tcW w:w="25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U</w:t>
            </w: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(pótkocsi legfeljebb 750 kg megengedett legnagyobb össztömegig)</w:t>
            </w:r>
          </w:p>
        </w:tc>
      </w:tr>
      <w:tr w:rsidR="00F34B3A" w:rsidRPr="00F34B3A" w:rsidTr="00896F1F">
        <w:tc>
          <w:tcPr>
            <w:tcW w:w="14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O2</w:t>
            </w:r>
          </w:p>
        </w:tc>
        <w:tc>
          <w:tcPr>
            <w:tcW w:w="10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utánfutó</w:t>
            </w:r>
          </w:p>
        </w:tc>
        <w:tc>
          <w:tcPr>
            <w:tcW w:w="25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B3A" w:rsidRPr="00F34B3A" w:rsidRDefault="00F34B3A" w:rsidP="00896F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6871C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hu-HU"/>
              </w:rPr>
              <w:t>U</w:t>
            </w:r>
            <w:r w:rsidRPr="00F34B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(pótkocsi 750 kg felett, legfeljebb 3,5 tonnáig)</w:t>
            </w:r>
          </w:p>
        </w:tc>
      </w:tr>
    </w:tbl>
    <w:p w:rsidR="006871C7" w:rsidRDefault="006871C7" w:rsidP="00F3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306" w:rsidRDefault="00C17306" w:rsidP="00F3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BF" w:rsidRPr="001C0FA9" w:rsidRDefault="00A32BBF" w:rsidP="00A32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FA9">
        <w:rPr>
          <w:rFonts w:ascii="Times New Roman" w:hAnsi="Times New Roman" w:cs="Times New Roman"/>
          <w:b/>
          <w:sz w:val="24"/>
          <w:szCs w:val="24"/>
        </w:rPr>
        <w:t>Autópálya matrica díjak 2017-ben</w:t>
      </w:r>
      <w:r w:rsidR="001C0FA9">
        <w:rPr>
          <w:rFonts w:ascii="Times New Roman" w:hAnsi="Times New Roman" w:cs="Times New Roman"/>
          <w:b/>
          <w:sz w:val="24"/>
          <w:szCs w:val="24"/>
        </w:rPr>
        <w:t>:</w:t>
      </w:r>
    </w:p>
    <w:p w:rsidR="006871C7" w:rsidRDefault="006871C7" w:rsidP="00F3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BBF" w:rsidRDefault="00A32BBF" w:rsidP="00536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BB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238115" cy="4191000"/>
            <wp:effectExtent l="0" t="0" r="0" b="0"/>
            <wp:docPr id="1" name="Kép 1" descr="C:\Users\Levente\Downloads\letölt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ente\Downloads\letölté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378" cy="426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EC7" w:rsidRDefault="00A34EC7" w:rsidP="00F3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70" w:rsidRDefault="00A34EC7" w:rsidP="005369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D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Összeállította: Farkas Tibor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hő. tüzér hadnagy</w:t>
      </w:r>
    </w:p>
    <w:sectPr w:rsidR="00536970" w:rsidSect="005E6E10">
      <w:footerReference w:type="default" r:id="rId8"/>
      <w:pgSz w:w="11906" w:h="16838"/>
      <w:pgMar w:top="1135" w:right="1273" w:bottom="993" w:left="1273" w:header="1440" w:footer="29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10" w:rsidRDefault="005E6E10" w:rsidP="005E6E10">
      <w:pPr>
        <w:spacing w:after="0" w:line="240" w:lineRule="auto"/>
      </w:pPr>
      <w:r>
        <w:separator/>
      </w:r>
    </w:p>
  </w:endnote>
  <w:endnote w:type="continuationSeparator" w:id="0">
    <w:p w:rsidR="005E6E10" w:rsidRDefault="005E6E10" w:rsidP="005E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3152258"/>
      <w:docPartObj>
        <w:docPartGallery w:val="Page Numbers (Bottom of Page)"/>
        <w:docPartUnique/>
      </w:docPartObj>
    </w:sdtPr>
    <w:sdtEndPr/>
    <w:sdtContent>
      <w:p w:rsidR="005E6E10" w:rsidRPr="005E6E10" w:rsidRDefault="007B614C" w:rsidP="005E6E10">
        <w:pPr>
          <w:pStyle w:val="llb"/>
          <w:jc w:val="center"/>
          <w:rPr>
            <w:rFonts w:ascii="Times New Roman" w:hAnsi="Times New Roman" w:cs="Times New Roman"/>
          </w:rPr>
        </w:pPr>
        <w:r w:rsidRPr="005E6E10">
          <w:rPr>
            <w:rFonts w:ascii="Times New Roman" w:hAnsi="Times New Roman" w:cs="Times New Roman"/>
          </w:rPr>
          <w:fldChar w:fldCharType="begin"/>
        </w:r>
        <w:r w:rsidR="005E6E10" w:rsidRPr="005E6E10">
          <w:rPr>
            <w:rFonts w:ascii="Times New Roman" w:hAnsi="Times New Roman" w:cs="Times New Roman"/>
          </w:rPr>
          <w:instrText xml:space="preserve"> PAGE   \* MERGEFORMAT </w:instrText>
        </w:r>
        <w:r w:rsidRPr="005E6E10">
          <w:rPr>
            <w:rFonts w:ascii="Times New Roman" w:hAnsi="Times New Roman" w:cs="Times New Roman"/>
          </w:rPr>
          <w:fldChar w:fldCharType="separate"/>
        </w:r>
        <w:r w:rsidR="005A1A63">
          <w:rPr>
            <w:rFonts w:ascii="Times New Roman" w:hAnsi="Times New Roman" w:cs="Times New Roman"/>
            <w:noProof/>
          </w:rPr>
          <w:t>5</w:t>
        </w:r>
        <w:r w:rsidRPr="005E6E10">
          <w:rPr>
            <w:rFonts w:ascii="Times New Roman" w:hAnsi="Times New Roman" w:cs="Times New Roman"/>
          </w:rPr>
          <w:fldChar w:fldCharType="end"/>
        </w:r>
        <w:r w:rsidR="005E6E10" w:rsidRPr="005E6E10">
          <w:rPr>
            <w:rFonts w:ascii="Times New Roman" w:hAnsi="Times New Roman" w:cs="Times New Roman"/>
          </w:rPr>
          <w:t>.</w:t>
        </w:r>
      </w:p>
    </w:sdtContent>
  </w:sdt>
  <w:p w:rsidR="005E6E10" w:rsidRDefault="005E6E1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10" w:rsidRDefault="005E6E10" w:rsidP="005E6E10">
      <w:pPr>
        <w:spacing w:after="0" w:line="240" w:lineRule="auto"/>
      </w:pPr>
      <w:r>
        <w:separator/>
      </w:r>
    </w:p>
  </w:footnote>
  <w:footnote w:type="continuationSeparator" w:id="0">
    <w:p w:rsidR="005E6E10" w:rsidRDefault="005E6E10" w:rsidP="005E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438C"/>
    <w:multiLevelType w:val="hybridMultilevel"/>
    <w:tmpl w:val="F5263A3A"/>
    <w:lvl w:ilvl="0" w:tplc="7DD4BE3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52A6"/>
    <w:multiLevelType w:val="hybridMultilevel"/>
    <w:tmpl w:val="5C162B5C"/>
    <w:lvl w:ilvl="0" w:tplc="F006CAC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8B2"/>
    <w:multiLevelType w:val="multilevel"/>
    <w:tmpl w:val="5D6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77B88"/>
    <w:multiLevelType w:val="multilevel"/>
    <w:tmpl w:val="DB247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32F"/>
    <w:rsid w:val="00006C8E"/>
    <w:rsid w:val="000219C6"/>
    <w:rsid w:val="00023013"/>
    <w:rsid w:val="00036F7D"/>
    <w:rsid w:val="00045A97"/>
    <w:rsid w:val="000471EF"/>
    <w:rsid w:val="00055636"/>
    <w:rsid w:val="0007031E"/>
    <w:rsid w:val="00076F6C"/>
    <w:rsid w:val="00080398"/>
    <w:rsid w:val="00082091"/>
    <w:rsid w:val="000C608A"/>
    <w:rsid w:val="000D107F"/>
    <w:rsid w:val="000D5884"/>
    <w:rsid w:val="000E0AFA"/>
    <w:rsid w:val="000E4C5B"/>
    <w:rsid w:val="000E532F"/>
    <w:rsid w:val="000F7566"/>
    <w:rsid w:val="000F7AC1"/>
    <w:rsid w:val="0014424A"/>
    <w:rsid w:val="00145E46"/>
    <w:rsid w:val="00153613"/>
    <w:rsid w:val="00165EDB"/>
    <w:rsid w:val="00173C71"/>
    <w:rsid w:val="001777C4"/>
    <w:rsid w:val="0018121F"/>
    <w:rsid w:val="00193856"/>
    <w:rsid w:val="00196ED3"/>
    <w:rsid w:val="001C0FA9"/>
    <w:rsid w:val="001C1AFE"/>
    <w:rsid w:val="001C7D54"/>
    <w:rsid w:val="001D78FC"/>
    <w:rsid w:val="001E4E44"/>
    <w:rsid w:val="001E78E6"/>
    <w:rsid w:val="001F0A66"/>
    <w:rsid w:val="001F52E0"/>
    <w:rsid w:val="001F5BF2"/>
    <w:rsid w:val="001F6F30"/>
    <w:rsid w:val="00200A15"/>
    <w:rsid w:val="002329C8"/>
    <w:rsid w:val="00234B27"/>
    <w:rsid w:val="00245283"/>
    <w:rsid w:val="00264C0D"/>
    <w:rsid w:val="0027525C"/>
    <w:rsid w:val="00282067"/>
    <w:rsid w:val="002833A2"/>
    <w:rsid w:val="002C5377"/>
    <w:rsid w:val="002D1F44"/>
    <w:rsid w:val="00323BF0"/>
    <w:rsid w:val="00326903"/>
    <w:rsid w:val="00327614"/>
    <w:rsid w:val="00330306"/>
    <w:rsid w:val="003337FB"/>
    <w:rsid w:val="00351A61"/>
    <w:rsid w:val="00391A38"/>
    <w:rsid w:val="003929A2"/>
    <w:rsid w:val="003D46A9"/>
    <w:rsid w:val="003D5157"/>
    <w:rsid w:val="003E6FEA"/>
    <w:rsid w:val="00400801"/>
    <w:rsid w:val="00402CD4"/>
    <w:rsid w:val="00407D46"/>
    <w:rsid w:val="00411D8A"/>
    <w:rsid w:val="0041525F"/>
    <w:rsid w:val="00423DEE"/>
    <w:rsid w:val="004302AE"/>
    <w:rsid w:val="004335FC"/>
    <w:rsid w:val="0044412E"/>
    <w:rsid w:val="00450B2E"/>
    <w:rsid w:val="00451FEB"/>
    <w:rsid w:val="004575D0"/>
    <w:rsid w:val="0047583F"/>
    <w:rsid w:val="00475C8D"/>
    <w:rsid w:val="00482BE6"/>
    <w:rsid w:val="004871B4"/>
    <w:rsid w:val="004A1550"/>
    <w:rsid w:val="004B5735"/>
    <w:rsid w:val="004B703C"/>
    <w:rsid w:val="004C79D9"/>
    <w:rsid w:val="004D21C0"/>
    <w:rsid w:val="004E576F"/>
    <w:rsid w:val="005142FE"/>
    <w:rsid w:val="005160D6"/>
    <w:rsid w:val="00521CD3"/>
    <w:rsid w:val="0053354D"/>
    <w:rsid w:val="0053367C"/>
    <w:rsid w:val="00536970"/>
    <w:rsid w:val="005501B5"/>
    <w:rsid w:val="005507A8"/>
    <w:rsid w:val="00550AE6"/>
    <w:rsid w:val="00555C40"/>
    <w:rsid w:val="00563B9E"/>
    <w:rsid w:val="00587EC1"/>
    <w:rsid w:val="005A1A63"/>
    <w:rsid w:val="005E6E10"/>
    <w:rsid w:val="005F2B1E"/>
    <w:rsid w:val="00603697"/>
    <w:rsid w:val="006262B4"/>
    <w:rsid w:val="006315E1"/>
    <w:rsid w:val="00660E1A"/>
    <w:rsid w:val="0067038D"/>
    <w:rsid w:val="006871C7"/>
    <w:rsid w:val="006905AD"/>
    <w:rsid w:val="006927B3"/>
    <w:rsid w:val="00692E5D"/>
    <w:rsid w:val="00694C02"/>
    <w:rsid w:val="00695622"/>
    <w:rsid w:val="006978BC"/>
    <w:rsid w:val="006D3EB2"/>
    <w:rsid w:val="006F73F2"/>
    <w:rsid w:val="007149DB"/>
    <w:rsid w:val="00720759"/>
    <w:rsid w:val="00723B14"/>
    <w:rsid w:val="00754862"/>
    <w:rsid w:val="00770881"/>
    <w:rsid w:val="00773D47"/>
    <w:rsid w:val="00773F09"/>
    <w:rsid w:val="007A3908"/>
    <w:rsid w:val="007B614C"/>
    <w:rsid w:val="007C23A0"/>
    <w:rsid w:val="007D77E7"/>
    <w:rsid w:val="007E15C6"/>
    <w:rsid w:val="007F24E0"/>
    <w:rsid w:val="007F32EA"/>
    <w:rsid w:val="00820FEE"/>
    <w:rsid w:val="00827370"/>
    <w:rsid w:val="00841BE0"/>
    <w:rsid w:val="00861632"/>
    <w:rsid w:val="00862B39"/>
    <w:rsid w:val="00863EAA"/>
    <w:rsid w:val="00864943"/>
    <w:rsid w:val="008704D8"/>
    <w:rsid w:val="00873201"/>
    <w:rsid w:val="0087352C"/>
    <w:rsid w:val="00896F1F"/>
    <w:rsid w:val="008B213F"/>
    <w:rsid w:val="008B4D0B"/>
    <w:rsid w:val="008D16A5"/>
    <w:rsid w:val="008D3AC2"/>
    <w:rsid w:val="008E7420"/>
    <w:rsid w:val="008F259C"/>
    <w:rsid w:val="008F26C9"/>
    <w:rsid w:val="008F312A"/>
    <w:rsid w:val="008F4187"/>
    <w:rsid w:val="009042EF"/>
    <w:rsid w:val="0093527F"/>
    <w:rsid w:val="00947BF6"/>
    <w:rsid w:val="0095717B"/>
    <w:rsid w:val="009655D1"/>
    <w:rsid w:val="00975719"/>
    <w:rsid w:val="00986376"/>
    <w:rsid w:val="009868AD"/>
    <w:rsid w:val="009B0693"/>
    <w:rsid w:val="009B7659"/>
    <w:rsid w:val="009D1DAC"/>
    <w:rsid w:val="009E034E"/>
    <w:rsid w:val="009F510D"/>
    <w:rsid w:val="009F63F3"/>
    <w:rsid w:val="00A034FD"/>
    <w:rsid w:val="00A24041"/>
    <w:rsid w:val="00A272F6"/>
    <w:rsid w:val="00A32371"/>
    <w:rsid w:val="00A32BBF"/>
    <w:rsid w:val="00A34EC7"/>
    <w:rsid w:val="00A507A0"/>
    <w:rsid w:val="00A5230B"/>
    <w:rsid w:val="00A54739"/>
    <w:rsid w:val="00A553F5"/>
    <w:rsid w:val="00A57F10"/>
    <w:rsid w:val="00A62F34"/>
    <w:rsid w:val="00A7388A"/>
    <w:rsid w:val="00A7444C"/>
    <w:rsid w:val="00AC4BAB"/>
    <w:rsid w:val="00AE4657"/>
    <w:rsid w:val="00AF031D"/>
    <w:rsid w:val="00AF680E"/>
    <w:rsid w:val="00B011CF"/>
    <w:rsid w:val="00B0234F"/>
    <w:rsid w:val="00B079E1"/>
    <w:rsid w:val="00B23A91"/>
    <w:rsid w:val="00B317C7"/>
    <w:rsid w:val="00B44E39"/>
    <w:rsid w:val="00B50128"/>
    <w:rsid w:val="00B65BD0"/>
    <w:rsid w:val="00B827D6"/>
    <w:rsid w:val="00B91B97"/>
    <w:rsid w:val="00BA60B8"/>
    <w:rsid w:val="00BB1166"/>
    <w:rsid w:val="00BB29C3"/>
    <w:rsid w:val="00BB7B95"/>
    <w:rsid w:val="00BC25B2"/>
    <w:rsid w:val="00BC681D"/>
    <w:rsid w:val="00BD03F8"/>
    <w:rsid w:val="00BE2606"/>
    <w:rsid w:val="00BE7AFD"/>
    <w:rsid w:val="00BF4440"/>
    <w:rsid w:val="00C1593B"/>
    <w:rsid w:val="00C17306"/>
    <w:rsid w:val="00C17AAF"/>
    <w:rsid w:val="00C21197"/>
    <w:rsid w:val="00C21C6D"/>
    <w:rsid w:val="00C32BB5"/>
    <w:rsid w:val="00C37D00"/>
    <w:rsid w:val="00C81C0E"/>
    <w:rsid w:val="00C86FAE"/>
    <w:rsid w:val="00CA4697"/>
    <w:rsid w:val="00CF7964"/>
    <w:rsid w:val="00D37FA8"/>
    <w:rsid w:val="00D41694"/>
    <w:rsid w:val="00D44DEF"/>
    <w:rsid w:val="00D60AAA"/>
    <w:rsid w:val="00D6504C"/>
    <w:rsid w:val="00D8139C"/>
    <w:rsid w:val="00D81792"/>
    <w:rsid w:val="00D84663"/>
    <w:rsid w:val="00D86FA9"/>
    <w:rsid w:val="00D87D44"/>
    <w:rsid w:val="00D94017"/>
    <w:rsid w:val="00DC11E9"/>
    <w:rsid w:val="00DE5265"/>
    <w:rsid w:val="00DF5883"/>
    <w:rsid w:val="00E03D3D"/>
    <w:rsid w:val="00E07506"/>
    <w:rsid w:val="00E17CA6"/>
    <w:rsid w:val="00E34E29"/>
    <w:rsid w:val="00E40DF2"/>
    <w:rsid w:val="00E42163"/>
    <w:rsid w:val="00E42968"/>
    <w:rsid w:val="00E9229E"/>
    <w:rsid w:val="00E93033"/>
    <w:rsid w:val="00E96F42"/>
    <w:rsid w:val="00EA0F17"/>
    <w:rsid w:val="00ED180D"/>
    <w:rsid w:val="00EF7F36"/>
    <w:rsid w:val="00F06F3B"/>
    <w:rsid w:val="00F24288"/>
    <w:rsid w:val="00F25F30"/>
    <w:rsid w:val="00F34B3A"/>
    <w:rsid w:val="00F35747"/>
    <w:rsid w:val="00F43EB1"/>
    <w:rsid w:val="00F67111"/>
    <w:rsid w:val="00F7306C"/>
    <w:rsid w:val="00F92A52"/>
    <w:rsid w:val="00FB79A5"/>
    <w:rsid w:val="00FE07B4"/>
    <w:rsid w:val="00FF0FA7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10254-6AE9-4D17-9FCF-2D474CBF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03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3">
    <w:name w:val="H3"/>
    <w:basedOn w:val="Norml"/>
    <w:next w:val="Norml"/>
    <w:uiPriority w:val="99"/>
    <w:rsid w:val="000E532F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532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045A97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54862"/>
    <w:rPr>
      <w:rFonts w:ascii="Verdana" w:hAnsi="Verdana" w:hint="default"/>
      <w:b/>
      <w:bCs/>
      <w:strike w:val="0"/>
      <w:dstrike w:val="0"/>
      <w:color w:val="000000"/>
      <w:u w:val="none"/>
      <w:effect w:val="none"/>
    </w:rPr>
  </w:style>
  <w:style w:type="character" w:styleId="Kiemels2">
    <w:name w:val="Strong"/>
    <w:basedOn w:val="Bekezdsalapbettpusa"/>
    <w:uiPriority w:val="22"/>
    <w:qFormat/>
    <w:rsid w:val="00754862"/>
    <w:rPr>
      <w:b/>
      <w:bCs/>
    </w:rPr>
  </w:style>
  <w:style w:type="paragraph" w:styleId="Listaszerbekezds">
    <w:name w:val="List Paragraph"/>
    <w:basedOn w:val="Norml"/>
    <w:uiPriority w:val="34"/>
    <w:qFormat/>
    <w:rsid w:val="003D46A9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5E6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E6E10"/>
  </w:style>
  <w:style w:type="paragraph" w:styleId="llb">
    <w:name w:val="footer"/>
    <w:basedOn w:val="Norml"/>
    <w:link w:val="llbChar"/>
    <w:uiPriority w:val="99"/>
    <w:unhideWhenUsed/>
    <w:rsid w:val="005E6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4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60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7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4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83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7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4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1712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Ricsi</dc:creator>
  <cp:keywords/>
  <dc:description/>
  <cp:lastModifiedBy>Levente</cp:lastModifiedBy>
  <cp:revision>252</cp:revision>
  <dcterms:created xsi:type="dcterms:W3CDTF">2014-12-23T10:51:00Z</dcterms:created>
  <dcterms:modified xsi:type="dcterms:W3CDTF">2017-01-30T11:54:00Z</dcterms:modified>
</cp:coreProperties>
</file>